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97CF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仿宋_GBK"/>
          <w:b w:val="0"/>
          <w:bCs w:val="0"/>
          <w:color w:val="000000" w:themeColor="text1"/>
          <w:sz w:val="32"/>
          <w:szCs w:val="32"/>
          <w14:textFill>
            <w14:solidFill>
              <w14:schemeClr w14:val="tx1"/>
            </w14:solidFill>
          </w14:textFill>
        </w:rPr>
      </w:pPr>
    </w:p>
    <w:p w14:paraId="12B7255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仿宋_GBK"/>
          <w:b w:val="0"/>
          <w:bCs w:val="0"/>
          <w:color w:val="000000" w:themeColor="text1"/>
          <w:sz w:val="32"/>
          <w:szCs w:val="32"/>
          <w14:textFill>
            <w14:solidFill>
              <w14:schemeClr w14:val="tx1"/>
            </w14:solidFill>
          </w14:textFill>
        </w:rPr>
      </w:pPr>
    </w:p>
    <w:p w14:paraId="3F3D59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仿宋_GBK"/>
          <w:b w:val="0"/>
          <w:bCs w:val="0"/>
          <w:color w:val="000000" w:themeColor="text1"/>
          <w:sz w:val="32"/>
          <w:szCs w:val="32"/>
          <w14:textFill>
            <w14:solidFill>
              <w14:schemeClr w14:val="tx1"/>
            </w14:solidFill>
          </w14:textFill>
        </w:rPr>
      </w:pPr>
    </w:p>
    <w:p w14:paraId="570D86A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仿宋_GBK"/>
          <w:b w:val="0"/>
          <w:bCs w:val="0"/>
          <w:color w:val="000000" w:themeColor="text1"/>
          <w:sz w:val="32"/>
          <w:szCs w:val="32"/>
          <w14:textFill>
            <w14:solidFill>
              <w14:schemeClr w14:val="tx1"/>
            </w14:solidFill>
          </w14:textFill>
        </w:rPr>
      </w:pPr>
    </w:p>
    <w:p w14:paraId="5C543B6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仿宋_GBK"/>
          <w:b w:val="0"/>
          <w:bCs w:val="0"/>
          <w:color w:val="000000" w:themeColor="text1"/>
          <w:sz w:val="32"/>
          <w:szCs w:val="32"/>
          <w14:textFill>
            <w14:solidFill>
              <w14:schemeClr w14:val="tx1"/>
            </w14:solidFill>
          </w14:textFill>
        </w:rPr>
      </w:pPr>
    </w:p>
    <w:p w14:paraId="6F61CF9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仿宋_GBK"/>
          <w:b w:val="0"/>
          <w:bCs w:val="0"/>
          <w:color w:val="000000" w:themeColor="text1"/>
          <w:sz w:val="32"/>
          <w:szCs w:val="32"/>
          <w14:textFill>
            <w14:solidFill>
              <w14:schemeClr w14:val="tx1"/>
            </w14:solidFill>
          </w14:textFill>
        </w:rPr>
      </w:pPr>
    </w:p>
    <w:p w14:paraId="4D6CA62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仿宋_GBK"/>
          <w:b w:val="0"/>
          <w:bCs w:val="0"/>
          <w:color w:val="000000" w:themeColor="text1"/>
          <w:sz w:val="32"/>
          <w:szCs w:val="32"/>
          <w14:textFill>
            <w14:solidFill>
              <w14:schemeClr w14:val="tx1"/>
            </w14:solidFill>
          </w14:textFill>
        </w:rPr>
      </w:pPr>
    </w:p>
    <w:p w14:paraId="5332B193">
      <w:pPr>
        <w:keepNext w:val="0"/>
        <w:keepLines w:val="0"/>
        <w:pageBreakBefore w:val="0"/>
        <w:widowControl w:val="0"/>
        <w:kinsoku/>
        <w:wordWrap/>
        <w:overflowPunct/>
        <w:bidi w:val="0"/>
        <w:spacing w:line="594" w:lineRule="exact"/>
        <w:jc w:val="center"/>
        <w:rPr>
          <w:rFonts w:eastAsia="方正仿宋_GBK"/>
          <w:b w:val="0"/>
          <w:bCs w:val="0"/>
          <w:color w:val="000000" w:themeColor="text1"/>
          <w:sz w:val="32"/>
          <w:szCs w:val="32"/>
          <w14:textFill>
            <w14:solidFill>
              <w14:schemeClr w14:val="tx1"/>
            </w14:solidFill>
          </w14:textFill>
        </w:rPr>
      </w:pPr>
      <w:r>
        <w:rPr>
          <w:rFonts w:eastAsia="方正仿宋_GBK"/>
          <w:b w:val="0"/>
          <w:bCs w:val="0"/>
          <w:color w:val="000000" w:themeColor="text1"/>
          <w:sz w:val="32"/>
          <w:szCs w:val="32"/>
          <w14:textFill>
            <w14:solidFill>
              <w14:schemeClr w14:val="tx1"/>
            </w14:solidFill>
          </w14:textFill>
        </w:rPr>
        <w:t>忠府办发〔202</w:t>
      </w:r>
      <w:r>
        <w:rPr>
          <w:rFonts w:hint="eastAsia" w:eastAsia="方正仿宋_GBK"/>
          <w:b w:val="0"/>
          <w:bCs w:val="0"/>
          <w:color w:val="000000" w:themeColor="text1"/>
          <w:sz w:val="32"/>
          <w:szCs w:val="32"/>
          <w14:textFill>
            <w14:solidFill>
              <w14:schemeClr w14:val="tx1"/>
            </w14:solidFill>
          </w14:textFill>
        </w:rPr>
        <w:t>5</w:t>
      </w:r>
      <w:r>
        <w:rPr>
          <w:rFonts w:eastAsia="方正仿宋_GBK"/>
          <w:b w:val="0"/>
          <w:bCs w:val="0"/>
          <w:color w:val="000000" w:themeColor="text1"/>
          <w:sz w:val="32"/>
          <w:szCs w:val="32"/>
          <w14:textFill>
            <w14:solidFill>
              <w14:schemeClr w14:val="tx1"/>
            </w14:solidFill>
          </w14:textFill>
        </w:rPr>
        <w:t>〕</w:t>
      </w:r>
      <w:r>
        <w:rPr>
          <w:rFonts w:hint="eastAsia" w:eastAsia="方正仿宋_GBK"/>
          <w:b w:val="0"/>
          <w:bCs w:val="0"/>
          <w:color w:val="000000" w:themeColor="text1"/>
          <w:sz w:val="32"/>
          <w:szCs w:val="32"/>
          <w:lang w:val="en-US" w:eastAsia="zh-CN"/>
          <w14:textFill>
            <w14:solidFill>
              <w14:schemeClr w14:val="tx1"/>
            </w14:solidFill>
          </w14:textFill>
        </w:rPr>
        <w:t>44</w:t>
      </w:r>
      <w:r>
        <w:rPr>
          <w:rFonts w:eastAsia="方正仿宋_GBK"/>
          <w:b w:val="0"/>
          <w:bCs w:val="0"/>
          <w:color w:val="000000" w:themeColor="text1"/>
          <w:sz w:val="32"/>
          <w:szCs w:val="32"/>
          <w14:textFill>
            <w14:solidFill>
              <w14:schemeClr w14:val="tx1"/>
            </w14:solidFill>
          </w14:textFill>
        </w:rPr>
        <w:t>号</w:t>
      </w:r>
    </w:p>
    <w:p w14:paraId="4C41ACA6">
      <w:pPr>
        <w:keepNext w:val="0"/>
        <w:keepLines w:val="0"/>
        <w:pageBreakBefore w:val="0"/>
        <w:widowControl w:val="0"/>
        <w:kinsoku/>
        <w:wordWrap/>
        <w:overflowPunct/>
        <w:bidi w:val="0"/>
        <w:spacing w:line="594" w:lineRule="exact"/>
        <w:jc w:val="center"/>
        <w:rPr>
          <w:rFonts w:eastAsia="方正仿宋_GBK"/>
          <w:b w:val="0"/>
          <w:bCs w:val="0"/>
          <w:color w:val="000000" w:themeColor="text1"/>
          <w:sz w:val="32"/>
          <w:szCs w:val="32"/>
          <w14:textFill>
            <w14:solidFill>
              <w14:schemeClr w14:val="tx1"/>
            </w14:solidFill>
          </w14:textFill>
        </w:rPr>
      </w:pPr>
    </w:p>
    <w:p w14:paraId="4C392EDB">
      <w:pPr>
        <w:keepNext w:val="0"/>
        <w:keepLines w:val="0"/>
        <w:pageBreakBefore w:val="0"/>
        <w:widowControl w:val="0"/>
        <w:kinsoku/>
        <w:wordWrap/>
        <w:overflowPunct/>
        <w:bidi w:val="0"/>
        <w:spacing w:line="594" w:lineRule="exact"/>
        <w:jc w:val="center"/>
        <w:rPr>
          <w:rFonts w:eastAsia="方正小标宋_GBK"/>
          <w:b w:val="0"/>
          <w:bCs w:val="0"/>
          <w:color w:val="000000" w:themeColor="text1"/>
          <w:sz w:val="44"/>
          <w:szCs w:val="44"/>
          <w14:textFill>
            <w14:solidFill>
              <w14:schemeClr w14:val="tx1"/>
            </w14:solidFill>
          </w14:textFill>
        </w:rPr>
      </w:pPr>
    </w:p>
    <w:p w14:paraId="5A0F3454">
      <w:pPr>
        <w:keepNext w:val="0"/>
        <w:keepLines w:val="0"/>
        <w:pageBreakBefore w:val="0"/>
        <w:widowControl w:val="0"/>
        <w:kinsoku/>
        <w:wordWrap/>
        <w:overflowPunct/>
        <w:bidi w:val="0"/>
        <w:spacing w:line="660" w:lineRule="exact"/>
        <w:jc w:val="center"/>
        <w:rPr>
          <w:rFonts w:eastAsia="方正小标宋_GBK"/>
          <w:b w:val="0"/>
          <w:bCs w:val="0"/>
          <w:color w:val="000000" w:themeColor="text1"/>
          <w:sz w:val="44"/>
          <w:szCs w:val="44"/>
          <w14:textFill>
            <w14:solidFill>
              <w14:schemeClr w14:val="tx1"/>
            </w14:solidFill>
          </w14:textFill>
        </w:rPr>
      </w:pPr>
      <w:r>
        <w:rPr>
          <w:rFonts w:eastAsia="方正小标宋_GBK"/>
          <w:b w:val="0"/>
          <w:bCs w:val="0"/>
          <w:color w:val="000000" w:themeColor="text1"/>
          <w:sz w:val="44"/>
          <w:szCs w:val="44"/>
          <w14:textFill>
            <w14:solidFill>
              <w14:schemeClr w14:val="tx1"/>
            </w14:solidFill>
          </w14:textFill>
        </w:rPr>
        <w:t>忠县人民政府办公室</w:t>
      </w:r>
    </w:p>
    <w:p w14:paraId="2096EE85">
      <w:pPr>
        <w:keepNext w:val="0"/>
        <w:keepLines w:val="0"/>
        <w:pageBreakBefore w:val="0"/>
        <w:widowControl w:val="0"/>
        <w:kinsoku/>
        <w:wordWrap/>
        <w:overflowPunct/>
        <w:topLinePunct/>
        <w:autoSpaceDE w:val="0"/>
        <w:autoSpaceDN w:val="0"/>
        <w:bidi w:val="0"/>
        <w:adjustRightInd w:val="0"/>
        <w:snapToGrid w:val="0"/>
        <w:spacing w:line="660" w:lineRule="exact"/>
        <w:jc w:val="center"/>
        <w:textAlignment w:val="baseline"/>
        <w:rPr>
          <w:rFonts w:hint="eastAsia" w:ascii="方正小标宋_GBK" w:hAnsi="方正小标宋_GBK" w:eastAsia="方正小标宋_GBK" w:cs="方正小标宋_GBK"/>
          <w:b w:val="0"/>
          <w:bCs w:val="0"/>
          <w:sz w:val="44"/>
          <w:szCs w:val="44"/>
        </w:rPr>
      </w:pPr>
      <w:r>
        <w:rPr>
          <w:rFonts w:eastAsia="方正小标宋_GBK"/>
          <w:b w:val="0"/>
          <w:bCs w:val="0"/>
          <w:color w:val="000000" w:themeColor="text1"/>
          <w:sz w:val="44"/>
          <w:szCs w:val="44"/>
          <w14:textFill>
            <w14:solidFill>
              <w14:schemeClr w14:val="tx1"/>
            </w14:solidFill>
          </w14:textFill>
        </w:rPr>
        <w:t>关于印发</w:t>
      </w:r>
      <w:r>
        <w:rPr>
          <w:rFonts w:hint="eastAsia" w:ascii="方正小标宋_GBK" w:hAnsi="方正小标宋_GBK" w:eastAsia="方正小标宋_GBK" w:cs="方正小标宋_GBK"/>
          <w:b w:val="0"/>
          <w:bCs w:val="0"/>
          <w:sz w:val="44"/>
          <w:szCs w:val="44"/>
          <w:lang w:val="en-US" w:eastAsia="zh-CN"/>
        </w:rPr>
        <w:t>忠县</w:t>
      </w:r>
      <w:r>
        <w:rPr>
          <w:rFonts w:hint="eastAsia" w:ascii="方正小标宋_GBK" w:hAnsi="方正小标宋_GBK" w:eastAsia="方正小标宋_GBK" w:cs="方正小标宋_GBK"/>
          <w:b w:val="0"/>
          <w:bCs w:val="0"/>
          <w:sz w:val="44"/>
          <w:szCs w:val="44"/>
        </w:rPr>
        <w:t>结核病防治行动方案</w:t>
      </w:r>
    </w:p>
    <w:p w14:paraId="0599B477">
      <w:pPr>
        <w:keepNext w:val="0"/>
        <w:keepLines w:val="0"/>
        <w:pageBreakBefore w:val="0"/>
        <w:widowControl w:val="0"/>
        <w:kinsoku/>
        <w:wordWrap/>
        <w:overflowPunct/>
        <w:bidi w:val="0"/>
        <w:spacing w:line="660" w:lineRule="exact"/>
        <w:jc w:val="center"/>
        <w:rPr>
          <w:rFonts w:eastAsia="方正小标宋_GBK"/>
          <w:b w:val="0"/>
          <w:bCs w:val="0"/>
          <w:color w:val="000000" w:themeColor="text1"/>
          <w:sz w:val="44"/>
          <w:szCs w:val="44"/>
          <w14:textFill>
            <w14:solidFill>
              <w14:schemeClr w14:val="tx1"/>
            </w14:solidFill>
          </w14:textFill>
        </w:rPr>
      </w:pPr>
      <w:r>
        <w:rPr>
          <w:rFonts w:hint="default" w:ascii="Times New Roman" w:hAnsi="Times New Roman" w:eastAsia="方正小标宋_GBK" w:cs="Times New Roman"/>
          <w:b w:val="0"/>
          <w:bCs w:val="0"/>
          <w:sz w:val="44"/>
          <w:szCs w:val="44"/>
        </w:rPr>
        <w:t>（2025</w:t>
      </w:r>
      <w:r>
        <w:rPr>
          <w:rFonts w:hint="default" w:ascii="Times New Roman" w:hAnsi="Times New Roman" w:eastAsia="方正小标宋_GBK" w:cs="Times New Roman"/>
          <w:b w:val="0"/>
          <w:bCs w:val="0"/>
          <w:sz w:val="44"/>
          <w:szCs w:val="44"/>
          <w:lang w:eastAsia="zh-CN"/>
        </w:rPr>
        <w:t>—</w:t>
      </w:r>
      <w:r>
        <w:rPr>
          <w:rFonts w:hint="default" w:ascii="Times New Roman" w:hAnsi="Times New Roman" w:eastAsia="方正小标宋_GBK" w:cs="Times New Roman"/>
          <w:b w:val="0"/>
          <w:bCs w:val="0"/>
          <w:sz w:val="44"/>
          <w:szCs w:val="44"/>
        </w:rPr>
        <w:t>2035年）</w:t>
      </w:r>
      <w:r>
        <w:rPr>
          <w:rFonts w:eastAsia="方正小标宋_GBK"/>
          <w:b w:val="0"/>
          <w:bCs w:val="0"/>
          <w:color w:val="000000" w:themeColor="text1"/>
          <w:sz w:val="44"/>
          <w:szCs w:val="44"/>
          <w14:textFill>
            <w14:solidFill>
              <w14:schemeClr w14:val="tx1"/>
            </w14:solidFill>
          </w14:textFill>
        </w:rPr>
        <w:t>的通知</w:t>
      </w:r>
    </w:p>
    <w:p w14:paraId="09F55CC5">
      <w:pPr>
        <w:keepNext w:val="0"/>
        <w:keepLines w:val="0"/>
        <w:pageBreakBefore w:val="0"/>
        <w:widowControl w:val="0"/>
        <w:kinsoku/>
        <w:wordWrap/>
        <w:overflowPunct/>
        <w:bidi w:val="0"/>
        <w:spacing w:line="560" w:lineRule="exact"/>
        <w:rPr>
          <w:rFonts w:eastAsia="方正仿宋_GBK"/>
          <w:b w:val="0"/>
          <w:bCs w:val="0"/>
          <w:color w:val="000000" w:themeColor="text1"/>
          <w:sz w:val="32"/>
          <w:szCs w:val="32"/>
          <w14:textFill>
            <w14:solidFill>
              <w14:schemeClr w14:val="tx1"/>
            </w14:solidFill>
          </w14:textFill>
        </w:rPr>
      </w:pPr>
    </w:p>
    <w:p w14:paraId="4154704B">
      <w:pPr>
        <w:keepNext w:val="0"/>
        <w:keepLines w:val="0"/>
        <w:pageBreakBefore w:val="0"/>
        <w:widowControl w:val="0"/>
        <w:kinsoku/>
        <w:wordWrap/>
        <w:overflowPunct/>
        <w:bidi w:val="0"/>
        <w:spacing w:line="560" w:lineRule="exact"/>
        <w:rPr>
          <w:rFonts w:eastAsia="方正仿宋_GBK"/>
          <w:b w:val="0"/>
          <w:bCs w:val="0"/>
          <w:color w:val="000000" w:themeColor="text1"/>
          <w:sz w:val="32"/>
          <w:szCs w:val="32"/>
          <w14:textFill>
            <w14:solidFill>
              <w14:schemeClr w14:val="tx1"/>
            </w14:solidFill>
          </w14:textFill>
        </w:rPr>
      </w:pPr>
      <w:r>
        <w:rPr>
          <w:rFonts w:hint="eastAsia" w:eastAsia="方正仿宋_GBK"/>
          <w:b w:val="0"/>
          <w:bCs w:val="0"/>
          <w:color w:val="000000" w:themeColor="text1"/>
          <w:sz w:val="32"/>
          <w:szCs w:val="32"/>
          <w14:textFill>
            <w14:solidFill>
              <w14:schemeClr w14:val="tx1"/>
            </w14:solidFill>
          </w14:textFill>
        </w:rPr>
        <w:t>各乡镇人民政府，各街道办事处，县政府各部门：</w:t>
      </w:r>
    </w:p>
    <w:p w14:paraId="22206BD8">
      <w:pPr>
        <w:keepNext w:val="0"/>
        <w:keepLines w:val="0"/>
        <w:pageBreakBefore w:val="0"/>
        <w:widowControl w:val="0"/>
        <w:kinsoku/>
        <w:wordWrap/>
        <w:overflowPunct/>
        <w:topLinePunct/>
        <w:autoSpaceDE w:val="0"/>
        <w:autoSpaceDN w:val="0"/>
        <w:bidi w:val="0"/>
        <w:adjustRightInd w:val="0"/>
        <w:snapToGrid w:val="0"/>
        <w:spacing w:line="560" w:lineRule="exact"/>
        <w:ind w:firstLine="640" w:firstLineChars="200"/>
        <w:jc w:val="left"/>
        <w:textAlignment w:val="baseline"/>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eastAsia="方正仿宋_GBK"/>
          <w:b w:val="0"/>
          <w:bCs w:val="0"/>
          <w:color w:val="000000" w:themeColor="text1"/>
          <w:sz w:val="32"/>
          <w:szCs w:val="32"/>
          <w14:textFill>
            <w14:solidFill>
              <w14:schemeClr w14:val="tx1"/>
            </w14:solidFill>
          </w14:textFill>
        </w:rPr>
        <w:t>《</w:t>
      </w:r>
      <w:r>
        <w:rPr>
          <w:rFonts w:hint="eastAsia" w:ascii="方正仿宋_GBK" w:hAnsi="方正仿宋_GBK" w:eastAsia="方正仿宋_GBK" w:cs="方正仿宋_GBK"/>
          <w:b w:val="0"/>
          <w:bCs w:val="0"/>
          <w:sz w:val="32"/>
          <w:szCs w:val="32"/>
          <w:lang w:val="en-US" w:eastAsia="zh-CN"/>
        </w:rPr>
        <w:t>忠县</w:t>
      </w:r>
      <w:r>
        <w:rPr>
          <w:rFonts w:hint="eastAsia" w:ascii="方正仿宋_GBK" w:hAnsi="方正仿宋_GBK" w:eastAsia="方正仿宋_GBK" w:cs="方正仿宋_GBK"/>
          <w:b w:val="0"/>
          <w:bCs w:val="0"/>
          <w:sz w:val="32"/>
          <w:szCs w:val="32"/>
        </w:rPr>
        <w:t>结核病防治行动方案（</w:t>
      </w:r>
      <w:r>
        <w:rPr>
          <w:rFonts w:hint="default" w:ascii="Times New Roman" w:hAnsi="Times New Roman" w:eastAsia="方正仿宋_GBK" w:cs="Times New Roman"/>
          <w:b w:val="0"/>
          <w:bCs w:val="0"/>
          <w:sz w:val="32"/>
          <w:szCs w:val="32"/>
        </w:rPr>
        <w:t>2025</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2035年）</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w:t>
      </w:r>
      <w:r>
        <w:rPr>
          <w:rFonts w:hint="eastAsia" w:eastAsia="方正仿宋_GBK" w:cs="Times New Roman"/>
          <w:b w:val="0"/>
          <w:bCs w:val="0"/>
          <w:color w:val="000000" w:themeColor="text1"/>
          <w:sz w:val="32"/>
          <w:szCs w:val="32"/>
          <w:lang w:eastAsia="zh-CN"/>
          <w14:textFill>
            <w14:solidFill>
              <w14:schemeClr w14:val="tx1"/>
            </w14:solidFill>
          </w14:textFill>
        </w:rPr>
        <w:t>已经县政府同意，现</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印发给你们，请认真贯彻执行。</w:t>
      </w:r>
    </w:p>
    <w:p w14:paraId="7964937C">
      <w:pPr>
        <w:keepNext w:val="0"/>
        <w:keepLines w:val="0"/>
        <w:pageBreakBefore w:val="0"/>
        <w:widowControl w:val="0"/>
        <w:kinsoku/>
        <w:wordWrap/>
        <w:overflowPunct/>
        <w:bidi w:val="0"/>
        <w:spacing w:line="560" w:lineRule="exact"/>
        <w:rPr>
          <w:rFonts w:eastAsia="方正仿宋_GBK"/>
          <w:b w:val="0"/>
          <w:bCs w:val="0"/>
          <w:color w:val="000000" w:themeColor="text1"/>
          <w:sz w:val="32"/>
          <w:szCs w:val="32"/>
          <w14:textFill>
            <w14:solidFill>
              <w14:schemeClr w14:val="tx1"/>
            </w14:solidFill>
          </w14:textFill>
        </w:rPr>
      </w:pPr>
    </w:p>
    <w:p w14:paraId="334B3504">
      <w:pPr>
        <w:keepNext w:val="0"/>
        <w:keepLines w:val="0"/>
        <w:pageBreakBefore w:val="0"/>
        <w:widowControl w:val="0"/>
        <w:kinsoku/>
        <w:wordWrap/>
        <w:overflowPunct/>
        <w:bidi w:val="0"/>
        <w:spacing w:line="560" w:lineRule="exact"/>
        <w:rPr>
          <w:rFonts w:eastAsia="方正仿宋_GBK"/>
          <w:b w:val="0"/>
          <w:bCs w:val="0"/>
          <w:color w:val="000000" w:themeColor="text1"/>
          <w:sz w:val="32"/>
          <w:szCs w:val="32"/>
          <w14:textFill>
            <w14:solidFill>
              <w14:schemeClr w14:val="tx1"/>
            </w14:solidFill>
          </w14:textFill>
        </w:rPr>
      </w:pPr>
    </w:p>
    <w:p w14:paraId="6C694887">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eastAsia="方正仿宋_GBK"/>
          <w:b w:val="0"/>
          <w:bCs w:val="0"/>
          <w:color w:val="000000" w:themeColor="text1"/>
          <w:sz w:val="32"/>
          <w:szCs w:val="32"/>
          <w14:textFill>
            <w14:solidFill>
              <w14:schemeClr w14:val="tx1"/>
            </w14:solidFill>
          </w14:textFill>
        </w:rPr>
      </w:pPr>
      <w:r>
        <w:rPr>
          <w:rFonts w:eastAsia="方正仿宋_GBK"/>
          <w:b w:val="0"/>
          <w:bCs w:val="0"/>
          <w:color w:val="000000" w:themeColor="text1"/>
          <w:sz w:val="32"/>
          <w:szCs w:val="32"/>
          <w14:textFill>
            <w14:solidFill>
              <w14:schemeClr w14:val="tx1"/>
            </w14:solidFill>
          </w14:textFill>
        </w:rPr>
        <w:t>忠县人民政府办公室</w:t>
      </w:r>
    </w:p>
    <w:p w14:paraId="686AE88A">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5040" w:firstLineChars="1575"/>
        <w:textAlignment w:val="auto"/>
        <w:rPr>
          <w:rFonts w:eastAsia="方正仿宋_GBK"/>
          <w:b w:val="0"/>
          <w:bCs w:val="0"/>
          <w:color w:val="000000" w:themeColor="text1"/>
          <w:sz w:val="32"/>
          <w:szCs w:val="32"/>
          <w14:textFill>
            <w14:solidFill>
              <w14:schemeClr w14:val="tx1"/>
            </w14:solidFill>
          </w14:textFill>
        </w:rPr>
      </w:pPr>
      <w:r>
        <w:rPr>
          <w:rFonts w:eastAsia="方正仿宋_GBK"/>
          <w:b w:val="0"/>
          <w:bCs w:val="0"/>
          <w:color w:val="000000" w:themeColor="text1"/>
          <w:sz w:val="32"/>
          <w:szCs w:val="32"/>
          <w14:textFill>
            <w14:solidFill>
              <w14:schemeClr w14:val="tx1"/>
            </w14:solidFill>
          </w14:textFill>
        </w:rPr>
        <w:t>202</w:t>
      </w:r>
      <w:r>
        <w:rPr>
          <w:rFonts w:hint="eastAsia" w:eastAsia="方正仿宋_GBK"/>
          <w:b w:val="0"/>
          <w:bCs w:val="0"/>
          <w:color w:val="000000" w:themeColor="text1"/>
          <w:sz w:val="32"/>
          <w:szCs w:val="32"/>
          <w14:textFill>
            <w14:solidFill>
              <w14:schemeClr w14:val="tx1"/>
            </w14:solidFill>
          </w14:textFill>
        </w:rPr>
        <w:t>5</w:t>
      </w:r>
      <w:r>
        <w:rPr>
          <w:rFonts w:eastAsia="方正仿宋_GBK"/>
          <w:b w:val="0"/>
          <w:bCs w:val="0"/>
          <w:color w:val="000000" w:themeColor="text1"/>
          <w:sz w:val="32"/>
          <w:szCs w:val="32"/>
          <w14:textFill>
            <w14:solidFill>
              <w14:schemeClr w14:val="tx1"/>
            </w14:solidFill>
          </w14:textFill>
        </w:rPr>
        <w:t>年</w:t>
      </w:r>
      <w:r>
        <w:rPr>
          <w:rFonts w:hint="eastAsia" w:eastAsia="方正仿宋_GBK"/>
          <w:b w:val="0"/>
          <w:bCs w:val="0"/>
          <w:color w:val="000000" w:themeColor="text1"/>
          <w:sz w:val="32"/>
          <w:szCs w:val="32"/>
          <w:lang w:val="en-US" w:eastAsia="zh-CN"/>
          <w14:textFill>
            <w14:solidFill>
              <w14:schemeClr w14:val="tx1"/>
            </w14:solidFill>
          </w14:textFill>
        </w:rPr>
        <w:t>10</w:t>
      </w:r>
      <w:r>
        <w:rPr>
          <w:rFonts w:eastAsia="方正仿宋_GBK"/>
          <w:b w:val="0"/>
          <w:bCs w:val="0"/>
          <w:color w:val="000000" w:themeColor="text1"/>
          <w:sz w:val="32"/>
          <w:szCs w:val="32"/>
          <w14:textFill>
            <w14:solidFill>
              <w14:schemeClr w14:val="tx1"/>
            </w14:solidFill>
          </w14:textFill>
        </w:rPr>
        <w:t>月</w:t>
      </w:r>
      <w:r>
        <w:rPr>
          <w:rFonts w:hint="eastAsia" w:eastAsia="方正仿宋_GBK"/>
          <w:b w:val="0"/>
          <w:bCs w:val="0"/>
          <w:color w:val="000000" w:themeColor="text1"/>
          <w:sz w:val="32"/>
          <w:szCs w:val="32"/>
          <w:lang w:val="en-US" w:eastAsia="zh-CN"/>
          <w14:textFill>
            <w14:solidFill>
              <w14:schemeClr w14:val="tx1"/>
            </w14:solidFill>
          </w14:textFill>
        </w:rPr>
        <w:t>23</w:t>
      </w:r>
      <w:r>
        <w:rPr>
          <w:rFonts w:eastAsia="方正仿宋_GBK"/>
          <w:b w:val="0"/>
          <w:bCs w:val="0"/>
          <w:color w:val="000000" w:themeColor="text1"/>
          <w:sz w:val="32"/>
          <w:szCs w:val="32"/>
          <w14:textFill>
            <w14:solidFill>
              <w14:schemeClr w14:val="tx1"/>
            </w14:solidFill>
          </w14:textFill>
        </w:rPr>
        <w:t>日</w:t>
      </w:r>
      <w:r>
        <w:rPr>
          <w:rFonts w:hint="eastAsia" w:eastAsia="方正仿宋_GBK"/>
          <w:b w:val="0"/>
          <w:bCs w:val="0"/>
          <w:color w:val="000000" w:themeColor="text1"/>
          <w:sz w:val="32"/>
          <w:szCs w:val="32"/>
          <w14:textFill>
            <w14:solidFill>
              <w14:schemeClr w14:val="tx1"/>
            </w14:solidFill>
          </w14:textFill>
        </w:rPr>
        <w:t xml:space="preserve"> </w:t>
      </w:r>
    </w:p>
    <w:p w14:paraId="423A6FA6">
      <w:pPr>
        <w:keepNext w:val="0"/>
        <w:keepLines w:val="0"/>
        <w:pageBreakBefore w:val="0"/>
        <w:widowControl w:val="0"/>
        <w:kinsoku/>
        <w:wordWrap/>
        <w:overflowPunct/>
        <w:bidi w:val="0"/>
        <w:spacing w:line="560" w:lineRule="exact"/>
        <w:ind w:firstLine="640" w:firstLineChars="200"/>
        <w:rPr>
          <w:rFonts w:eastAsia="方正小标宋_GBK"/>
          <w:b w:val="0"/>
          <w:bCs w:val="0"/>
          <w:color w:val="000000" w:themeColor="text1"/>
          <w:sz w:val="44"/>
          <w:szCs w:val="44"/>
          <w14:textFill>
            <w14:solidFill>
              <w14:schemeClr w14:val="tx1"/>
            </w14:solidFill>
          </w14:textFill>
        </w:rPr>
      </w:pPr>
      <w:r>
        <w:rPr>
          <w:rFonts w:hint="eastAsia" w:eastAsia="方正仿宋_GBK"/>
          <w:b w:val="0"/>
          <w:bCs w:val="0"/>
          <w:color w:val="000000" w:themeColor="text1"/>
          <w:sz w:val="32"/>
          <w:szCs w:val="32"/>
          <w14:textFill>
            <w14:solidFill>
              <w14:schemeClr w14:val="tx1"/>
            </w14:solidFill>
          </w14:textFill>
        </w:rPr>
        <w:t>（此件公开</w:t>
      </w:r>
      <w:r>
        <w:rPr>
          <w:rFonts w:hint="eastAsia" w:eastAsia="方正仿宋_GBK"/>
          <w:b w:val="0"/>
          <w:bCs w:val="0"/>
          <w:color w:val="000000" w:themeColor="text1"/>
          <w:sz w:val="32"/>
          <w:szCs w:val="32"/>
          <w:lang w:eastAsia="zh-CN"/>
          <w14:textFill>
            <w14:solidFill>
              <w14:schemeClr w14:val="tx1"/>
            </w14:solidFill>
          </w14:textFill>
        </w:rPr>
        <w:t>发布</w:t>
      </w:r>
      <w:r>
        <w:rPr>
          <w:rFonts w:hint="eastAsia" w:eastAsia="方正仿宋_GBK"/>
          <w:b w:val="0"/>
          <w:bCs w:val="0"/>
          <w:color w:val="000000" w:themeColor="text1"/>
          <w:sz w:val="32"/>
          <w:szCs w:val="32"/>
          <w14:textFill>
            <w14:solidFill>
              <w14:schemeClr w14:val="tx1"/>
            </w14:solidFill>
          </w14:textFill>
        </w:rPr>
        <w:t>）</w:t>
      </w:r>
    </w:p>
    <w:p w14:paraId="7F797D35">
      <w:pPr>
        <w:keepNext w:val="0"/>
        <w:keepLines w:val="0"/>
        <w:pageBreakBefore w:val="0"/>
        <w:widowControl w:val="0"/>
        <w:kinsoku/>
        <w:wordWrap/>
        <w:overflowPunct/>
        <w:topLinePunct/>
        <w:autoSpaceDE w:val="0"/>
        <w:autoSpaceDN w:val="0"/>
        <w:bidi w:val="0"/>
        <w:adjustRightInd w:val="0"/>
        <w:snapToGrid w:val="0"/>
        <w:spacing w:line="594" w:lineRule="exact"/>
        <w:ind w:left="0" w:leftChars="0"/>
        <w:jc w:val="center"/>
        <w:textAlignment w:val="baseline"/>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lang w:val="en-US" w:eastAsia="zh-CN"/>
        </w:rPr>
        <w:t>忠县</w:t>
      </w:r>
      <w:r>
        <w:rPr>
          <w:rFonts w:hint="eastAsia" w:ascii="方正小标宋_GBK" w:hAnsi="方正小标宋_GBK" w:eastAsia="方正小标宋_GBK" w:cs="方正小标宋_GBK"/>
          <w:b w:val="0"/>
          <w:bCs w:val="0"/>
          <w:sz w:val="44"/>
          <w:szCs w:val="44"/>
        </w:rPr>
        <w:t>结核病防治行动方案</w:t>
      </w:r>
    </w:p>
    <w:p w14:paraId="55D4B5EA">
      <w:pPr>
        <w:keepNext w:val="0"/>
        <w:keepLines w:val="0"/>
        <w:pageBreakBefore w:val="0"/>
        <w:widowControl w:val="0"/>
        <w:kinsoku/>
        <w:wordWrap/>
        <w:overflowPunct/>
        <w:topLinePunct/>
        <w:autoSpaceDE w:val="0"/>
        <w:autoSpaceDN w:val="0"/>
        <w:bidi w:val="0"/>
        <w:adjustRightInd w:val="0"/>
        <w:snapToGrid w:val="0"/>
        <w:spacing w:line="594" w:lineRule="exact"/>
        <w:ind w:left="0" w:leftChars="0"/>
        <w:jc w:val="center"/>
        <w:textAlignment w:val="baseline"/>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w:t>
      </w:r>
      <w:r>
        <w:rPr>
          <w:rFonts w:hint="default" w:ascii="Times New Roman" w:hAnsi="Times New Roman" w:eastAsia="方正小标宋_GBK" w:cs="Times New Roman"/>
          <w:b w:val="0"/>
          <w:bCs w:val="0"/>
          <w:sz w:val="44"/>
          <w:szCs w:val="44"/>
        </w:rPr>
        <w:t>2025</w:t>
      </w:r>
      <w:r>
        <w:rPr>
          <w:rFonts w:hint="default" w:ascii="Times New Roman" w:hAnsi="Times New Roman" w:eastAsia="方正小标宋_GBK" w:cs="Times New Roman"/>
          <w:b w:val="0"/>
          <w:bCs w:val="0"/>
          <w:sz w:val="44"/>
          <w:szCs w:val="44"/>
          <w:lang w:eastAsia="zh-CN"/>
        </w:rPr>
        <w:t>—</w:t>
      </w:r>
      <w:r>
        <w:rPr>
          <w:rFonts w:hint="default" w:ascii="Times New Roman" w:hAnsi="Times New Roman" w:eastAsia="方正小标宋_GBK" w:cs="Times New Roman"/>
          <w:b w:val="0"/>
          <w:bCs w:val="0"/>
          <w:sz w:val="44"/>
          <w:szCs w:val="44"/>
        </w:rPr>
        <w:t>2035</w:t>
      </w:r>
      <w:r>
        <w:rPr>
          <w:rFonts w:hint="eastAsia" w:ascii="方正小标宋_GBK" w:hAnsi="方正小标宋_GBK" w:eastAsia="方正小标宋_GBK" w:cs="方正小标宋_GBK"/>
          <w:b w:val="0"/>
          <w:bCs w:val="0"/>
          <w:sz w:val="44"/>
          <w:szCs w:val="44"/>
        </w:rPr>
        <w:t>年）</w:t>
      </w:r>
    </w:p>
    <w:p w14:paraId="0D19E9E4">
      <w:pPr>
        <w:keepNext w:val="0"/>
        <w:keepLines w:val="0"/>
        <w:pageBreakBefore w:val="0"/>
        <w:widowControl w:val="0"/>
        <w:kinsoku/>
        <w:wordWrap/>
        <w:overflowPunct/>
        <w:topLinePunct/>
        <w:autoSpaceDE w:val="0"/>
        <w:autoSpaceDN w:val="0"/>
        <w:bidi w:val="0"/>
        <w:adjustRightInd w:val="0"/>
        <w:snapToGrid w:val="0"/>
        <w:spacing w:line="594" w:lineRule="exact"/>
        <w:ind w:left="0" w:leftChars="0"/>
        <w:jc w:val="center"/>
        <w:textAlignment w:val="baseline"/>
        <w:rPr>
          <w:rFonts w:hint="eastAsia" w:ascii="方正楷体_GBK" w:hAnsi="方正楷体_GBK" w:eastAsia="方正楷体_GBK" w:cs="方正楷体_GBK"/>
          <w:b w:val="0"/>
          <w:bCs w:val="0"/>
          <w:sz w:val="32"/>
          <w:szCs w:val="32"/>
          <w:lang w:eastAsia="zh-CN"/>
        </w:rPr>
      </w:pPr>
    </w:p>
    <w:p w14:paraId="0CD4DF72">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为深入学习贯彻党的二十大和二十届二中、三中全会精神，全面贯彻落实习近平总书记关于</w:t>
      </w:r>
      <w:r>
        <w:rPr>
          <w:rFonts w:hint="eastAsia" w:eastAsia="方正仿宋_GBK" w:cs="Times New Roman"/>
          <w:b w:val="0"/>
          <w:bCs w:val="0"/>
          <w:sz w:val="32"/>
          <w:szCs w:val="32"/>
          <w:lang w:eastAsia="zh-CN"/>
        </w:rPr>
        <w:t>健康中国建设</w:t>
      </w:r>
      <w:r>
        <w:rPr>
          <w:rFonts w:hint="default" w:ascii="Times New Roman" w:hAnsi="Times New Roman" w:eastAsia="方正仿宋_GBK" w:cs="Times New Roman"/>
          <w:b w:val="0"/>
          <w:bCs w:val="0"/>
          <w:sz w:val="32"/>
          <w:szCs w:val="32"/>
        </w:rPr>
        <w:t>的重要论述，</w:t>
      </w:r>
      <w:r>
        <w:rPr>
          <w:rFonts w:hint="default" w:ascii="Times New Roman" w:hAnsi="Times New Roman" w:eastAsia="方正仿宋_GBK" w:cs="Times New Roman"/>
          <w:b w:val="0"/>
          <w:bCs w:val="0"/>
          <w:sz w:val="32"/>
          <w:szCs w:val="32"/>
          <w:lang w:val="en-US" w:eastAsia="zh-CN"/>
        </w:rPr>
        <w:t>根据《重庆市人民政府办公厅</w:t>
      </w:r>
      <w:r>
        <w:rPr>
          <w:rFonts w:hint="eastAsia" w:ascii="Times New Roman" w:hAnsi="Times New Roman" w:eastAsia="方正仿宋_GBK" w:cs="Times New Roman"/>
          <w:b w:val="0"/>
          <w:bCs w:val="0"/>
          <w:sz w:val="32"/>
          <w:szCs w:val="32"/>
          <w:lang w:val="en-US" w:eastAsia="zh-CN"/>
        </w:rPr>
        <w:t>关于</w:t>
      </w:r>
      <w:r>
        <w:rPr>
          <w:rFonts w:hint="default" w:ascii="Times New Roman" w:hAnsi="Times New Roman" w:eastAsia="方正仿宋_GBK" w:cs="Times New Roman"/>
          <w:b w:val="0"/>
          <w:bCs w:val="0"/>
          <w:sz w:val="32"/>
          <w:szCs w:val="32"/>
          <w:lang w:val="en-US" w:eastAsia="zh-CN"/>
        </w:rPr>
        <w:t>印发</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重庆市结核病防治行动方案</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（2024</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2035年）</w:t>
      </w:r>
      <w:r>
        <w:rPr>
          <w:rFonts w:hint="eastAsia" w:ascii="Times New Roman" w:hAnsi="Times New Roman" w:eastAsia="方正仿宋_GBK" w:cs="Times New Roman"/>
          <w:b w:val="0"/>
          <w:bCs w:val="0"/>
          <w:sz w:val="32"/>
          <w:szCs w:val="32"/>
          <w:lang w:val="en-US" w:eastAsia="zh-CN"/>
        </w:rPr>
        <w:t>的通知</w:t>
      </w:r>
      <w:r>
        <w:rPr>
          <w:rFonts w:hint="default" w:ascii="Times New Roman" w:hAnsi="Times New Roman" w:eastAsia="方正仿宋_GBK" w:cs="Times New Roman"/>
          <w:b w:val="0"/>
          <w:bCs w:val="0"/>
          <w:sz w:val="32"/>
          <w:szCs w:val="32"/>
          <w:lang w:val="en-US" w:eastAsia="zh-CN"/>
        </w:rPr>
        <w:t>》（渝府办发〔2024〕84号）</w:t>
      </w:r>
      <w:r>
        <w:rPr>
          <w:rFonts w:hint="eastAsia" w:ascii="Times New Roman" w:hAnsi="Times New Roman" w:eastAsia="方正仿宋_GBK" w:cs="Times New Roman"/>
          <w:b w:val="0"/>
          <w:bCs w:val="0"/>
          <w:sz w:val="32"/>
          <w:szCs w:val="32"/>
          <w:lang w:val="en-US" w:eastAsia="zh-CN"/>
        </w:rPr>
        <w:t>要求</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rPr>
        <w:t>结合我</w:t>
      </w:r>
      <w:r>
        <w:rPr>
          <w:rFonts w:hint="default" w:ascii="Times New Roman" w:hAnsi="Times New Roman" w:eastAsia="方正仿宋_GBK" w:cs="Times New Roman"/>
          <w:b w:val="0"/>
          <w:bCs w:val="0"/>
          <w:sz w:val="32"/>
          <w:szCs w:val="32"/>
          <w:lang w:val="en-US" w:eastAsia="zh-CN"/>
        </w:rPr>
        <w:t>县</w:t>
      </w:r>
      <w:r>
        <w:rPr>
          <w:rFonts w:hint="default" w:ascii="Times New Roman" w:hAnsi="Times New Roman" w:eastAsia="方正仿宋_GBK" w:cs="Times New Roman"/>
          <w:b w:val="0"/>
          <w:bCs w:val="0"/>
          <w:sz w:val="32"/>
          <w:szCs w:val="32"/>
        </w:rPr>
        <w:t>实际，制定本</w:t>
      </w:r>
      <w:r>
        <w:rPr>
          <w:rFonts w:hint="eastAsia" w:ascii="Times New Roman" w:hAnsi="Times New Roman" w:eastAsia="方正仿宋_GBK" w:cs="Times New Roman"/>
          <w:b w:val="0"/>
          <w:bCs w:val="0"/>
          <w:sz w:val="32"/>
          <w:szCs w:val="32"/>
          <w:lang w:eastAsia="zh-CN"/>
        </w:rPr>
        <w:t>行动</w:t>
      </w:r>
      <w:r>
        <w:rPr>
          <w:rFonts w:hint="default" w:ascii="Times New Roman" w:hAnsi="Times New Roman" w:eastAsia="方正仿宋_GBK" w:cs="Times New Roman"/>
          <w:b w:val="0"/>
          <w:bCs w:val="0"/>
          <w:sz w:val="32"/>
          <w:szCs w:val="32"/>
        </w:rPr>
        <w:t>方案。</w:t>
      </w:r>
    </w:p>
    <w:p w14:paraId="684A3815">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一、工作目标</w:t>
      </w:r>
    </w:p>
    <w:p w14:paraId="7CFBD8CE">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到2030年，全</w:t>
      </w:r>
      <w:r>
        <w:rPr>
          <w:rFonts w:hint="default" w:ascii="Times New Roman" w:hAnsi="Times New Roman" w:eastAsia="方正仿宋_GBK" w:cs="Times New Roman"/>
          <w:b w:val="0"/>
          <w:bCs w:val="0"/>
          <w:color w:val="auto"/>
          <w:sz w:val="32"/>
          <w:szCs w:val="32"/>
          <w:lang w:val="en-US" w:eastAsia="zh-CN"/>
        </w:rPr>
        <w:t>县</w:t>
      </w:r>
      <w:r>
        <w:rPr>
          <w:rFonts w:hint="default" w:ascii="Times New Roman" w:hAnsi="Times New Roman" w:eastAsia="方正仿宋_GBK" w:cs="Times New Roman"/>
          <w:b w:val="0"/>
          <w:bCs w:val="0"/>
          <w:color w:val="auto"/>
          <w:sz w:val="32"/>
          <w:szCs w:val="32"/>
        </w:rPr>
        <w:t>结核病</w:t>
      </w:r>
      <w:r>
        <w:rPr>
          <w:rFonts w:hint="eastAsia" w:ascii="Times New Roman" w:hAnsi="Times New Roman" w:eastAsia="方正仿宋_GBK" w:cs="Times New Roman"/>
          <w:b w:val="0"/>
          <w:bCs w:val="0"/>
          <w:color w:val="000000"/>
          <w:sz w:val="32"/>
          <w:szCs w:val="32"/>
          <w:lang w:eastAsia="zh-CN"/>
        </w:rPr>
        <w:t>报告</w:t>
      </w:r>
      <w:r>
        <w:rPr>
          <w:rFonts w:hint="default" w:ascii="Times New Roman" w:hAnsi="Times New Roman" w:eastAsia="方正仿宋_GBK" w:cs="Times New Roman"/>
          <w:b w:val="0"/>
          <w:bCs w:val="0"/>
          <w:color w:val="000000"/>
          <w:sz w:val="32"/>
          <w:szCs w:val="32"/>
        </w:rPr>
        <w:t>发病率</w:t>
      </w:r>
      <w:r>
        <w:rPr>
          <w:rFonts w:hint="eastAsia" w:ascii="Times New Roman" w:hAnsi="Times New Roman" w:eastAsia="方正仿宋_GBK" w:cs="Times New Roman"/>
          <w:b w:val="0"/>
          <w:bCs w:val="0"/>
          <w:color w:val="auto"/>
          <w:sz w:val="32"/>
          <w:szCs w:val="32"/>
          <w:lang w:eastAsia="zh-CN"/>
        </w:rPr>
        <w:t>较</w:t>
      </w:r>
      <w:r>
        <w:rPr>
          <w:rFonts w:hint="default" w:ascii="Times New Roman" w:hAnsi="Times New Roman" w:eastAsia="方正仿宋_GBK" w:cs="Times New Roman"/>
          <w:b w:val="0"/>
          <w:bCs w:val="0"/>
          <w:color w:val="auto"/>
          <w:sz w:val="32"/>
          <w:szCs w:val="32"/>
        </w:rPr>
        <w:t>2023年下降</w:t>
      </w:r>
      <w:r>
        <w:rPr>
          <w:rFonts w:hint="default" w:ascii="Times New Roman" w:hAnsi="Times New Roman" w:eastAsia="方正仿宋_GBK" w:cs="Times New Roman"/>
          <w:b w:val="0"/>
          <w:bCs w:val="0"/>
          <w:color w:val="auto"/>
          <w:sz w:val="32"/>
          <w:szCs w:val="32"/>
          <w:lang w:val="en-US" w:eastAsia="zh-CN"/>
        </w:rPr>
        <w:t>4</w:t>
      </w:r>
      <w:r>
        <w:rPr>
          <w:rFonts w:hint="default" w:ascii="Times New Roman" w:hAnsi="Times New Roman" w:eastAsia="方正仿宋_GBK" w:cs="Times New Roman"/>
          <w:b w:val="0"/>
          <w:bCs w:val="0"/>
          <w:color w:val="auto"/>
          <w:sz w:val="32"/>
          <w:szCs w:val="32"/>
        </w:rPr>
        <w:t>5%</w:t>
      </w:r>
      <w:r>
        <w:rPr>
          <w:rFonts w:hint="eastAsia"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降</w:t>
      </w:r>
      <w:r>
        <w:rPr>
          <w:rFonts w:hint="eastAsia" w:ascii="Times New Roman" w:hAnsi="Times New Roman" w:eastAsia="方正仿宋_GBK" w:cs="Times New Roman"/>
          <w:b w:val="0"/>
          <w:bCs w:val="0"/>
          <w:color w:val="auto"/>
          <w:sz w:val="32"/>
          <w:szCs w:val="32"/>
          <w:lang w:eastAsia="zh-CN"/>
        </w:rPr>
        <w:t>至</w:t>
      </w:r>
      <w:r>
        <w:rPr>
          <w:rFonts w:hint="default" w:ascii="Times New Roman" w:hAnsi="Times New Roman" w:eastAsia="方正仿宋_GBK" w:cs="Times New Roman"/>
          <w:b w:val="0"/>
          <w:bCs w:val="0"/>
          <w:color w:val="auto"/>
          <w:sz w:val="32"/>
          <w:szCs w:val="32"/>
        </w:rPr>
        <w:t>2</w:t>
      </w:r>
      <w:r>
        <w:rPr>
          <w:rFonts w:hint="eastAsia" w:eastAsia="方正仿宋_GBK" w:cs="Times New Roman"/>
          <w:b w:val="0"/>
          <w:bCs w:val="0"/>
          <w:color w:val="auto"/>
          <w:sz w:val="32"/>
          <w:szCs w:val="32"/>
          <w:lang w:val="en-US" w:eastAsia="zh-CN"/>
        </w:rPr>
        <w:t>0</w:t>
      </w:r>
      <w:r>
        <w:rPr>
          <w:rFonts w:hint="default" w:ascii="Times New Roman" w:hAnsi="Times New Roman" w:eastAsia="方正仿宋_GBK" w:cs="Times New Roman"/>
          <w:b w:val="0"/>
          <w:bCs w:val="0"/>
          <w:color w:val="auto"/>
          <w:sz w:val="32"/>
          <w:szCs w:val="32"/>
        </w:rPr>
        <w:t>/10万及以下。</w:t>
      </w:r>
      <w:r>
        <w:rPr>
          <w:rFonts w:hint="default" w:ascii="Times New Roman" w:hAnsi="Times New Roman" w:eastAsia="方正仿宋_GBK" w:cs="Times New Roman"/>
          <w:b w:val="0"/>
          <w:bCs w:val="0"/>
          <w:sz w:val="32"/>
          <w:szCs w:val="32"/>
        </w:rPr>
        <w:t>到2035年，全</w:t>
      </w:r>
      <w:r>
        <w:rPr>
          <w:rFonts w:hint="default" w:ascii="Times New Roman" w:hAnsi="Times New Roman" w:eastAsia="方正仿宋_GBK" w:cs="Times New Roman"/>
          <w:b w:val="0"/>
          <w:bCs w:val="0"/>
          <w:sz w:val="32"/>
          <w:szCs w:val="32"/>
          <w:lang w:val="en-US" w:eastAsia="zh-CN"/>
        </w:rPr>
        <w:t>县</w:t>
      </w:r>
      <w:r>
        <w:rPr>
          <w:rFonts w:hint="default" w:ascii="Times New Roman" w:hAnsi="Times New Roman" w:eastAsia="方正仿宋_GBK" w:cs="Times New Roman"/>
          <w:b w:val="0"/>
          <w:bCs w:val="0"/>
          <w:sz w:val="32"/>
          <w:szCs w:val="32"/>
        </w:rPr>
        <w:t>结核病</w:t>
      </w:r>
      <w:r>
        <w:rPr>
          <w:rFonts w:hint="eastAsia" w:ascii="Times New Roman" w:hAnsi="Times New Roman" w:eastAsia="方正仿宋_GBK" w:cs="Times New Roman"/>
          <w:b w:val="0"/>
          <w:bCs w:val="0"/>
          <w:color w:val="auto"/>
          <w:sz w:val="32"/>
          <w:szCs w:val="32"/>
          <w:lang w:eastAsia="zh-CN"/>
        </w:rPr>
        <w:t>报告</w:t>
      </w:r>
      <w:r>
        <w:rPr>
          <w:rFonts w:hint="default" w:ascii="Times New Roman" w:hAnsi="Times New Roman" w:eastAsia="方正仿宋_GBK" w:cs="Times New Roman"/>
          <w:b w:val="0"/>
          <w:bCs w:val="0"/>
          <w:color w:val="auto"/>
          <w:sz w:val="32"/>
          <w:szCs w:val="32"/>
        </w:rPr>
        <w:t>发病率</w:t>
      </w:r>
      <w:r>
        <w:rPr>
          <w:rFonts w:hint="default" w:ascii="Times New Roman" w:hAnsi="Times New Roman" w:eastAsia="方正仿宋_GBK" w:cs="Times New Roman"/>
          <w:b w:val="0"/>
          <w:bCs w:val="0"/>
          <w:sz w:val="32"/>
          <w:szCs w:val="32"/>
        </w:rPr>
        <w:t>降至10/10万以下。</w:t>
      </w:r>
    </w:p>
    <w:p w14:paraId="0C86447F">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二、防治策略</w:t>
      </w:r>
    </w:p>
    <w:p w14:paraId="737C09F3">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紧紧围绕</w:t>
      </w:r>
      <w:r>
        <w:rPr>
          <w:rFonts w:hint="eastAsia" w:ascii="方正仿宋_GBK" w:hAnsi="方正仿宋_GBK" w:eastAsia="方正仿宋_GBK" w:cs="方正仿宋_GBK"/>
          <w:b w:val="0"/>
          <w:bCs w:val="0"/>
          <w:sz w:val="32"/>
          <w:szCs w:val="32"/>
          <w:lang w:eastAsia="zh-CN"/>
        </w:rPr>
        <w:t>“</w:t>
      </w:r>
      <w:r>
        <w:rPr>
          <w:rFonts w:hint="default" w:ascii="Times New Roman" w:hAnsi="Times New Roman" w:eastAsia="方正仿宋_GBK" w:cs="Times New Roman"/>
          <w:b w:val="0"/>
          <w:bCs w:val="0"/>
          <w:sz w:val="32"/>
          <w:szCs w:val="32"/>
        </w:rPr>
        <w:t>2035年终结结核病流行</w:t>
      </w:r>
      <w:r>
        <w:rPr>
          <w:rFonts w:hint="eastAsia" w:ascii="方正仿宋_GBK" w:hAnsi="方正仿宋_GBK" w:eastAsia="方正仿宋_GBK" w:cs="方正仿宋_GBK"/>
          <w:b w:val="0"/>
          <w:bCs w:val="0"/>
          <w:sz w:val="32"/>
          <w:szCs w:val="32"/>
          <w:lang w:eastAsia="zh-CN"/>
        </w:rPr>
        <w:t>”</w:t>
      </w:r>
      <w:r>
        <w:rPr>
          <w:rFonts w:hint="default" w:ascii="Times New Roman" w:hAnsi="Times New Roman" w:eastAsia="方正仿宋_GBK" w:cs="Times New Roman"/>
          <w:b w:val="0"/>
          <w:bCs w:val="0"/>
          <w:sz w:val="32"/>
          <w:szCs w:val="32"/>
        </w:rPr>
        <w:t>目标，按照</w:t>
      </w:r>
      <w:r>
        <w:rPr>
          <w:rFonts w:hint="default" w:ascii="Times New Roman" w:hAnsi="Times New Roman" w:eastAsia="方正仿宋_GBK" w:cs="Times New Roman"/>
          <w:b w:val="0"/>
          <w:bCs w:val="0"/>
          <w:color w:val="000000"/>
          <w:sz w:val="32"/>
          <w:szCs w:val="32"/>
        </w:rPr>
        <w:t>县、乡镇（街道）和村（社区）三级管理权限层</w:t>
      </w:r>
      <w:r>
        <w:rPr>
          <w:rFonts w:hint="default" w:ascii="Times New Roman" w:hAnsi="Times New Roman" w:eastAsia="方正仿宋_GBK" w:cs="Times New Roman"/>
          <w:b w:val="0"/>
          <w:bCs w:val="0"/>
          <w:sz w:val="32"/>
          <w:szCs w:val="32"/>
        </w:rPr>
        <w:t>层压实责任，动态划分高中低疫情地区，实施</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一地一策</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，采取针对性防治措施。</w:t>
      </w:r>
    </w:p>
    <w:p w14:paraId="17B40996">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三、防治措施</w:t>
      </w:r>
    </w:p>
    <w:p w14:paraId="28ABA78F">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（一）扩大筛查行动</w:t>
      </w:r>
    </w:p>
    <w:p w14:paraId="095E9AEF">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方正楷体_GBK" w:hAnsi="方正楷体_GBK" w:eastAsia="方正楷体_GBK" w:cs="方正楷体_GBK"/>
          <w:b w:val="0"/>
          <w:bCs w:val="0"/>
          <w:sz w:val="32"/>
          <w:szCs w:val="32"/>
        </w:rPr>
      </w:pPr>
      <w:r>
        <w:rPr>
          <w:rFonts w:hint="default" w:ascii="Times New Roman" w:hAnsi="Times New Roman" w:eastAsia="方正仿宋_GBK" w:cs="Times New Roman"/>
          <w:b w:val="0"/>
          <w:bCs w:val="0"/>
          <w:sz w:val="32"/>
          <w:szCs w:val="32"/>
        </w:rPr>
        <w:t>1.</w:t>
      </w:r>
      <w:r>
        <w:rPr>
          <w:rFonts w:hint="eastAsia"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强化患者发现。全县各级各类医疗机构对咳嗽、咳痰超过</w:t>
      </w:r>
      <w:r>
        <w:rPr>
          <w:rFonts w:hint="eastAsia"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rPr>
        <w:t>周的结核病可疑症状者，优先推荐使用分子生物学开展病原学检查。到2030年，</w:t>
      </w:r>
      <w:r>
        <w:rPr>
          <w:rFonts w:hint="default" w:ascii="Times New Roman" w:hAnsi="Times New Roman" w:eastAsia="方正仿宋_GBK" w:cs="Times New Roman"/>
          <w:b w:val="0"/>
          <w:bCs w:val="0"/>
          <w:sz w:val="32"/>
          <w:szCs w:val="32"/>
          <w:lang w:eastAsia="zh-CN"/>
        </w:rPr>
        <w:t>县</w:t>
      </w:r>
      <w:r>
        <w:rPr>
          <w:rFonts w:hint="default" w:ascii="Times New Roman" w:hAnsi="Times New Roman" w:eastAsia="方正仿宋_GBK" w:cs="Times New Roman"/>
          <w:b w:val="0"/>
          <w:bCs w:val="0"/>
          <w:sz w:val="32"/>
          <w:szCs w:val="32"/>
          <w:lang w:val="en-US" w:eastAsia="zh-CN"/>
        </w:rPr>
        <w:t>人民医院</w:t>
      </w:r>
      <w:r>
        <w:rPr>
          <w:rFonts w:hint="default" w:ascii="Times New Roman" w:hAnsi="Times New Roman" w:eastAsia="方正仿宋_GBK" w:cs="Times New Roman"/>
          <w:b w:val="0"/>
          <w:bCs w:val="0"/>
          <w:sz w:val="32"/>
          <w:szCs w:val="32"/>
        </w:rPr>
        <w:t>对可疑症状者或疑似患者开展病原学检查率达到95%以上，对结核病患者开展分子生物学检测率达到85%以上。</w:t>
      </w:r>
      <w:r>
        <w:rPr>
          <w:rFonts w:hint="eastAsia" w:ascii="方正仿宋_GBK" w:hAnsi="方正仿宋_GBK" w:eastAsia="方正仿宋_GBK" w:cs="方正仿宋_GBK"/>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val="en-US" w:eastAsia="zh-CN"/>
        </w:rPr>
        <w:t>县</w:t>
      </w:r>
      <w:r>
        <w:rPr>
          <w:rFonts w:hint="default" w:ascii="方正楷体_GBK" w:hAnsi="方正楷体_GBK" w:eastAsia="方正楷体_GBK" w:cs="方正楷体_GBK"/>
          <w:b w:val="0"/>
          <w:bCs w:val="0"/>
          <w:sz w:val="32"/>
          <w:szCs w:val="32"/>
        </w:rPr>
        <w:t>卫生健康委</w:t>
      </w:r>
      <w:r>
        <w:rPr>
          <w:rFonts w:hint="eastAsia" w:ascii="方正楷体_GBK" w:hAnsi="方正楷体_GBK" w:eastAsia="方正楷体_GBK" w:cs="方正楷体_GBK"/>
          <w:b w:val="0"/>
          <w:bCs w:val="0"/>
          <w:sz w:val="32"/>
          <w:szCs w:val="32"/>
          <w:lang w:eastAsia="zh-CN"/>
        </w:rPr>
        <w:t>、各乡镇</w:t>
      </w:r>
      <w:r>
        <w:rPr>
          <w:rFonts w:hint="default"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eastAsia="zh-CN"/>
        </w:rPr>
        <w:t>街道</w:t>
      </w:r>
      <w:r>
        <w:rPr>
          <w:rFonts w:hint="default" w:ascii="方正楷体_GBK" w:hAnsi="方正楷体_GBK" w:eastAsia="方正楷体_GBK" w:cs="方正楷体_GBK"/>
          <w:b w:val="0"/>
          <w:bCs w:val="0"/>
          <w:sz w:val="32"/>
          <w:szCs w:val="32"/>
          <w:lang w:eastAsia="zh-CN"/>
        </w:rPr>
        <w:t>）</w:t>
      </w:r>
      <w:r>
        <w:rPr>
          <w:rFonts w:hint="eastAsia" w:ascii="方正仿宋_GBK" w:hAnsi="方正仿宋_GBK" w:eastAsia="方正仿宋_GBK" w:cs="方正仿宋_GBK"/>
          <w:b w:val="0"/>
          <w:bCs w:val="0"/>
          <w:sz w:val="32"/>
          <w:szCs w:val="32"/>
        </w:rPr>
        <w:t>〕</w:t>
      </w:r>
    </w:p>
    <w:p w14:paraId="05C9E4E4">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val="0"/>
          <w:bCs w:val="0"/>
          <w:sz w:val="32"/>
          <w:szCs w:val="32"/>
        </w:rPr>
        <w:t>2.</w:t>
      </w:r>
      <w:r>
        <w:rPr>
          <w:rFonts w:hint="eastAsia"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开展重点人群主动筛查</w:t>
      </w:r>
      <w:r>
        <w:rPr>
          <w:rFonts w:hint="eastAsia" w:eastAsia="方正仿宋_GBK" w:cs="Times New Roman"/>
          <w:b w:val="0"/>
          <w:bCs w:val="0"/>
          <w:sz w:val="32"/>
          <w:szCs w:val="32"/>
          <w:lang w:eastAsia="zh-CN"/>
        </w:rPr>
        <w:t>。</w:t>
      </w:r>
    </w:p>
    <w:p w14:paraId="0FEEAA48">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结核病患者密切接触者。制定结核病患者流行病学调查和密切接触者筛查技术方案，所有密切接触者需在10个工作日内完成症状筛查和胸部X光片检查，其中聚集性疫情密切接触者还需开展结核感染筛查。到2027年，全</w:t>
      </w:r>
      <w:r>
        <w:rPr>
          <w:rFonts w:hint="default" w:ascii="Times New Roman" w:hAnsi="Times New Roman" w:eastAsia="方正仿宋_GBK" w:cs="Times New Roman"/>
          <w:b w:val="0"/>
          <w:bCs w:val="0"/>
          <w:sz w:val="32"/>
          <w:szCs w:val="32"/>
          <w:lang w:val="en-US" w:eastAsia="zh-CN"/>
        </w:rPr>
        <w:t>县</w:t>
      </w:r>
      <w:r>
        <w:rPr>
          <w:rFonts w:hint="default" w:ascii="Times New Roman" w:hAnsi="Times New Roman" w:eastAsia="方正仿宋_GBK" w:cs="Times New Roman"/>
          <w:b w:val="0"/>
          <w:bCs w:val="0"/>
          <w:sz w:val="32"/>
          <w:szCs w:val="32"/>
        </w:rPr>
        <w:t>密切接触者胸部X光片检查率达到95%以上。学校内密切接触者按照学校结核病防控工作指南开展检查。</w:t>
      </w:r>
      <w:r>
        <w:rPr>
          <w:rFonts w:hint="eastAsia" w:ascii="方正仿宋_GBK" w:hAnsi="方正仿宋_GBK" w:eastAsia="方正仿宋_GBK" w:cs="方正仿宋_GBK"/>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val="en-US" w:eastAsia="zh-CN"/>
        </w:rPr>
        <w:t>县</w:t>
      </w:r>
      <w:r>
        <w:rPr>
          <w:rFonts w:hint="default" w:ascii="方正楷体_GBK" w:hAnsi="方正楷体_GBK" w:eastAsia="方正楷体_GBK" w:cs="方正楷体_GBK"/>
          <w:b w:val="0"/>
          <w:bCs w:val="0"/>
          <w:sz w:val="32"/>
          <w:szCs w:val="32"/>
        </w:rPr>
        <w:t>卫生健康委、</w:t>
      </w:r>
      <w:r>
        <w:rPr>
          <w:rFonts w:hint="default" w:ascii="方正楷体_GBK" w:hAnsi="方正楷体_GBK" w:eastAsia="方正楷体_GBK" w:cs="方正楷体_GBK"/>
          <w:b w:val="0"/>
          <w:bCs w:val="0"/>
          <w:sz w:val="32"/>
          <w:szCs w:val="32"/>
          <w:lang w:val="en-US" w:eastAsia="zh-CN"/>
        </w:rPr>
        <w:t>县</w:t>
      </w:r>
      <w:r>
        <w:rPr>
          <w:rFonts w:hint="default" w:ascii="方正楷体_GBK" w:hAnsi="方正楷体_GBK" w:eastAsia="方正楷体_GBK" w:cs="方正楷体_GBK"/>
          <w:b w:val="0"/>
          <w:bCs w:val="0"/>
          <w:sz w:val="32"/>
          <w:szCs w:val="32"/>
        </w:rPr>
        <w:t>教委</w:t>
      </w:r>
      <w:r>
        <w:rPr>
          <w:rFonts w:hint="eastAsia" w:ascii="方正楷体_GBK" w:hAnsi="方正楷体_GBK" w:eastAsia="方正楷体_GBK" w:cs="方正楷体_GBK"/>
          <w:b w:val="0"/>
          <w:bCs w:val="0"/>
          <w:sz w:val="32"/>
          <w:szCs w:val="32"/>
          <w:lang w:eastAsia="zh-CN"/>
        </w:rPr>
        <w:t>、各乡镇</w:t>
      </w:r>
      <w:r>
        <w:rPr>
          <w:rFonts w:hint="default"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eastAsia="zh-CN"/>
        </w:rPr>
        <w:t>街道</w:t>
      </w:r>
      <w:r>
        <w:rPr>
          <w:rFonts w:hint="default" w:ascii="方正楷体_GBK" w:hAnsi="方正楷体_GBK" w:eastAsia="方正楷体_GBK" w:cs="方正楷体_GBK"/>
          <w:b w:val="0"/>
          <w:bCs w:val="0"/>
          <w:sz w:val="32"/>
          <w:szCs w:val="32"/>
          <w:lang w:eastAsia="zh-CN"/>
        </w:rPr>
        <w:t>）</w:t>
      </w:r>
      <w:r>
        <w:rPr>
          <w:rFonts w:hint="eastAsia" w:ascii="方正仿宋_GBK" w:hAnsi="方正仿宋_GBK" w:eastAsia="方正仿宋_GBK" w:cs="方正仿宋_GBK"/>
          <w:b w:val="0"/>
          <w:bCs w:val="0"/>
          <w:sz w:val="32"/>
          <w:szCs w:val="32"/>
        </w:rPr>
        <w:t>〕</w:t>
      </w:r>
    </w:p>
    <w:p w14:paraId="2655E070">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（2）65岁以上老年人。</w:t>
      </w:r>
      <w:r>
        <w:rPr>
          <w:rFonts w:hint="default" w:ascii="Times New Roman" w:hAnsi="Times New Roman" w:eastAsia="方正仿宋_GBK" w:cs="Times New Roman"/>
          <w:b w:val="0"/>
          <w:bCs w:val="0"/>
          <w:sz w:val="32"/>
          <w:szCs w:val="32"/>
          <w:lang w:val="en-US" w:eastAsia="zh-CN"/>
        </w:rPr>
        <w:t>县疾控中心每年开展结核病疫情分析研判，</w:t>
      </w:r>
      <w:r>
        <w:rPr>
          <w:rFonts w:hint="default" w:ascii="Times New Roman" w:hAnsi="Times New Roman" w:eastAsia="方正仿宋_GBK" w:cs="Times New Roman"/>
          <w:b w:val="0"/>
          <w:bCs w:val="0"/>
          <w:sz w:val="32"/>
          <w:szCs w:val="32"/>
        </w:rPr>
        <w:t>在65岁以上老年人报告发病率大于300/10万的乡镇（街道），每年对辖区所有65岁以上老年人开展胸部X光片检查；在报告发病率大于150/10万且小于300/10万的乡镇（街道），每年对其中7类重点人群〔既往结核病患者、糖尿病患者、HIV/AIDS患者、尘肺患者、使用免疫抑制剂者、长期吸烟者、营养不良者（BMI小于16）〕中的65岁以上老年人开展胸部X光片检查；在报告发病率小于150/10万的乡镇（街道），每年对有可疑症状的65岁以上老年人开展胸部X光片检查。</w:t>
      </w:r>
      <w:r>
        <w:rPr>
          <w:rFonts w:hint="eastAsia" w:ascii="方正仿宋_GBK" w:hAnsi="方正仿宋_GBK" w:eastAsia="方正仿宋_GBK" w:cs="方正仿宋_GBK"/>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val="en-US" w:eastAsia="zh-CN"/>
        </w:rPr>
        <w:t>县</w:t>
      </w:r>
      <w:r>
        <w:rPr>
          <w:rFonts w:hint="default" w:ascii="方正楷体_GBK" w:hAnsi="方正楷体_GBK" w:eastAsia="方正楷体_GBK" w:cs="方正楷体_GBK"/>
          <w:b w:val="0"/>
          <w:bCs w:val="0"/>
          <w:sz w:val="32"/>
          <w:szCs w:val="32"/>
        </w:rPr>
        <w:t>卫生健康委</w:t>
      </w:r>
      <w:r>
        <w:rPr>
          <w:rFonts w:hint="eastAsia" w:ascii="方正楷体_GBK" w:hAnsi="方正楷体_GBK" w:eastAsia="方正楷体_GBK" w:cs="方正楷体_GBK"/>
          <w:b w:val="0"/>
          <w:bCs w:val="0"/>
          <w:sz w:val="32"/>
          <w:szCs w:val="32"/>
          <w:lang w:eastAsia="zh-CN"/>
        </w:rPr>
        <w:t>、各乡镇</w:t>
      </w:r>
      <w:r>
        <w:rPr>
          <w:rFonts w:hint="default"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eastAsia="zh-CN"/>
        </w:rPr>
        <w:t>街道</w:t>
      </w:r>
      <w:r>
        <w:rPr>
          <w:rFonts w:hint="default" w:ascii="方正楷体_GBK" w:hAnsi="方正楷体_GBK" w:eastAsia="方正楷体_GBK" w:cs="方正楷体_GBK"/>
          <w:b w:val="0"/>
          <w:bCs w:val="0"/>
          <w:sz w:val="32"/>
          <w:szCs w:val="32"/>
          <w:lang w:eastAsia="zh-CN"/>
        </w:rPr>
        <w:t>）</w:t>
      </w:r>
      <w:r>
        <w:rPr>
          <w:rFonts w:hint="eastAsia" w:ascii="方正仿宋_GBK" w:hAnsi="方正仿宋_GBK" w:eastAsia="方正仿宋_GBK" w:cs="方正仿宋_GBK"/>
          <w:b w:val="0"/>
          <w:bCs w:val="0"/>
          <w:sz w:val="32"/>
          <w:szCs w:val="32"/>
        </w:rPr>
        <w:t>〕</w:t>
      </w:r>
    </w:p>
    <w:p w14:paraId="45AA365C">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3）其他高风险人群。HIV/AIDS患者每年开展结核病可疑症状问诊和胸部X光片检查，检查率达到90%以上。高疫情乡镇（街道）每年对糖尿病患者、尘肺患者、长期使用免疫抑制剂者、慢性肾病患者等高风险人群开展胸部X光片检查；2年内对辖区其他人群（不含65岁以上老年人）开展1次结核病症状筛查。中、低疫情乡镇（街道）每年对糖尿病患者、尘肺患者、长期使用免疫抑制剂者、慢性肾病患者等高风险因素人群开展胸部X光片检查。</w:t>
      </w:r>
      <w:r>
        <w:rPr>
          <w:rFonts w:hint="eastAsia" w:ascii="方正仿宋_GBK" w:hAnsi="方正仿宋_GBK" w:eastAsia="方正仿宋_GBK" w:cs="方正仿宋_GBK"/>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val="en-US" w:eastAsia="zh-CN"/>
        </w:rPr>
        <w:t>县</w:t>
      </w:r>
      <w:r>
        <w:rPr>
          <w:rFonts w:hint="default" w:ascii="方正楷体_GBK" w:hAnsi="方正楷体_GBK" w:eastAsia="方正楷体_GBK" w:cs="方正楷体_GBK"/>
          <w:b w:val="0"/>
          <w:bCs w:val="0"/>
          <w:sz w:val="32"/>
          <w:szCs w:val="32"/>
        </w:rPr>
        <w:t>卫生健康委</w:t>
      </w:r>
      <w:r>
        <w:rPr>
          <w:rFonts w:hint="eastAsia" w:ascii="方正楷体_GBK" w:hAnsi="方正楷体_GBK" w:eastAsia="方正楷体_GBK" w:cs="方正楷体_GBK"/>
          <w:b w:val="0"/>
          <w:bCs w:val="0"/>
          <w:sz w:val="32"/>
          <w:szCs w:val="32"/>
          <w:lang w:eastAsia="zh-CN"/>
        </w:rPr>
        <w:t>、各乡镇</w:t>
      </w:r>
      <w:r>
        <w:rPr>
          <w:rFonts w:hint="default"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eastAsia="zh-CN"/>
        </w:rPr>
        <w:t>街道</w:t>
      </w:r>
      <w:r>
        <w:rPr>
          <w:rFonts w:hint="default" w:ascii="方正楷体_GBK" w:hAnsi="方正楷体_GBK" w:eastAsia="方正楷体_GBK" w:cs="方正楷体_GBK"/>
          <w:b w:val="0"/>
          <w:bCs w:val="0"/>
          <w:sz w:val="32"/>
          <w:szCs w:val="32"/>
          <w:lang w:eastAsia="zh-CN"/>
        </w:rPr>
        <w:t>）</w:t>
      </w:r>
      <w:r>
        <w:rPr>
          <w:rFonts w:hint="eastAsia" w:ascii="方正仿宋_GBK" w:hAnsi="方正仿宋_GBK" w:eastAsia="方正仿宋_GBK" w:cs="方正仿宋_GBK"/>
          <w:b w:val="0"/>
          <w:bCs w:val="0"/>
          <w:sz w:val="32"/>
          <w:szCs w:val="32"/>
        </w:rPr>
        <w:t>〕</w:t>
      </w:r>
    </w:p>
    <w:p w14:paraId="32005855">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val="0"/>
          <w:bCs w:val="0"/>
          <w:sz w:val="32"/>
          <w:szCs w:val="32"/>
        </w:rPr>
        <w:t>3.</w:t>
      </w:r>
      <w:r>
        <w:rPr>
          <w:rFonts w:hint="eastAsia"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落实重点场所主动筛查</w:t>
      </w:r>
      <w:r>
        <w:rPr>
          <w:rFonts w:hint="eastAsia" w:eastAsia="方正仿宋_GBK" w:cs="Times New Roman"/>
          <w:b w:val="0"/>
          <w:bCs w:val="0"/>
          <w:sz w:val="32"/>
          <w:szCs w:val="32"/>
          <w:lang w:eastAsia="zh-CN"/>
        </w:rPr>
        <w:t>。</w:t>
      </w:r>
      <w:bookmarkStart w:id="0" w:name="_GoBack"/>
      <w:bookmarkEnd w:id="0"/>
    </w:p>
    <w:p w14:paraId="59B340D3">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（1）学校。将结核病防控措施落实情况纳入学校年度工作目标内容，每年对幼儿园、小学及非寄宿制初中入学新生开展密切接触史和可疑症状问诊，对高中和寄宿制初中入学新生和高二学生开展结核感染检测，</w:t>
      </w:r>
      <w:r>
        <w:rPr>
          <w:rFonts w:hint="default" w:ascii="Times New Roman" w:hAnsi="Times New Roman" w:eastAsia="方正仿宋_GBK" w:cs="Times New Roman"/>
          <w:b w:val="0"/>
          <w:bCs w:val="0"/>
          <w:color w:val="auto"/>
          <w:sz w:val="32"/>
          <w:szCs w:val="32"/>
        </w:rPr>
        <w:t>对大学入学新生开展胸部X光片检查，</w:t>
      </w:r>
      <w:r>
        <w:rPr>
          <w:rFonts w:hint="eastAsia" w:eastAsia="方正仿宋_GBK" w:cs="Times New Roman"/>
          <w:b w:val="0"/>
          <w:bCs w:val="0"/>
          <w:color w:val="auto"/>
          <w:sz w:val="32"/>
          <w:szCs w:val="32"/>
          <w:lang w:val="en-US" w:eastAsia="zh-CN"/>
        </w:rPr>
        <w:t>根据要求对初二学生开展结核感染检测，每年对所有教职员工开展胸部X光片检查</w:t>
      </w:r>
      <w:r>
        <w:rPr>
          <w:rFonts w:hint="default" w:ascii="Times New Roman" w:hAnsi="Times New Roman" w:eastAsia="方正仿宋_GBK" w:cs="Times New Roman"/>
          <w:b w:val="0"/>
          <w:bCs w:val="0"/>
          <w:color w:val="auto"/>
          <w:sz w:val="32"/>
          <w:szCs w:val="32"/>
        </w:rPr>
        <w:t>。（</w:t>
      </w:r>
      <w:r>
        <w:rPr>
          <w:rFonts w:hint="default" w:ascii="方正楷体_GBK" w:hAnsi="方正楷体_GBK" w:eastAsia="方正楷体_GBK" w:cs="方正楷体_GBK"/>
          <w:b w:val="0"/>
          <w:bCs w:val="0"/>
          <w:color w:val="auto"/>
          <w:sz w:val="32"/>
          <w:szCs w:val="32"/>
        </w:rPr>
        <w:t>责任单位：</w:t>
      </w:r>
      <w:r>
        <w:rPr>
          <w:rFonts w:hint="default" w:ascii="方正楷体_GBK" w:hAnsi="方正楷体_GBK" w:eastAsia="方正楷体_GBK" w:cs="方正楷体_GBK"/>
          <w:b w:val="0"/>
          <w:bCs w:val="0"/>
          <w:color w:val="auto"/>
          <w:sz w:val="32"/>
          <w:szCs w:val="32"/>
          <w:lang w:val="en-US" w:eastAsia="zh-CN"/>
        </w:rPr>
        <w:t>县</w:t>
      </w:r>
      <w:r>
        <w:rPr>
          <w:rFonts w:hint="default" w:ascii="方正楷体_GBK" w:hAnsi="方正楷体_GBK" w:eastAsia="方正楷体_GBK" w:cs="方正楷体_GBK"/>
          <w:b w:val="0"/>
          <w:bCs w:val="0"/>
          <w:color w:val="auto"/>
          <w:sz w:val="32"/>
          <w:szCs w:val="32"/>
        </w:rPr>
        <w:t>教委、</w:t>
      </w:r>
      <w:r>
        <w:rPr>
          <w:rFonts w:hint="default" w:ascii="方正楷体_GBK" w:hAnsi="方正楷体_GBK" w:eastAsia="方正楷体_GBK" w:cs="方正楷体_GBK"/>
          <w:b w:val="0"/>
          <w:bCs w:val="0"/>
          <w:color w:val="auto"/>
          <w:sz w:val="32"/>
          <w:szCs w:val="32"/>
          <w:lang w:val="en-US" w:eastAsia="zh-CN"/>
        </w:rPr>
        <w:t>县</w:t>
      </w:r>
      <w:r>
        <w:rPr>
          <w:rFonts w:hint="default" w:ascii="方正楷体_GBK" w:hAnsi="方正楷体_GBK" w:eastAsia="方正楷体_GBK" w:cs="方正楷体_GBK"/>
          <w:b w:val="0"/>
          <w:bCs w:val="0"/>
          <w:color w:val="auto"/>
          <w:sz w:val="32"/>
          <w:szCs w:val="32"/>
        </w:rPr>
        <w:t>卫生健康委</w:t>
      </w:r>
      <w:r>
        <w:rPr>
          <w:rFonts w:hint="default" w:ascii="Times New Roman" w:hAnsi="Times New Roman" w:eastAsia="方正仿宋_GBK" w:cs="Times New Roman"/>
          <w:b w:val="0"/>
          <w:bCs w:val="0"/>
          <w:color w:val="auto"/>
          <w:sz w:val="32"/>
          <w:szCs w:val="32"/>
        </w:rPr>
        <w:t>）</w:t>
      </w:r>
    </w:p>
    <w:p w14:paraId="673669E0">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其他重点场所。监管场所的工作人员、羁押人群，养老机构、社会福利机构的从业人员以及精神病院的住院患者每年开展胸部X光片检查。引导养老机构、社会福利机构的服务对象每年主动开展胸部X光片检查。做好规模养殖场员工入职和年度体检结核病筛查工作，加强人畜共患结核病监测。加强对流动人口聚集的区域（场所）开展结核病防控。</w:t>
      </w:r>
      <w:r>
        <w:rPr>
          <w:rFonts w:hint="eastAsia" w:ascii="方正仿宋_GBK" w:hAnsi="方正仿宋_GBK" w:eastAsia="方正仿宋_GBK" w:cs="方正仿宋_GBK"/>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公安局、</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民政局、</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农业农村委、</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eastAsia" w:ascii="方正楷体_GBK" w:hAnsi="方正楷体_GBK" w:eastAsia="方正楷体_GBK" w:cs="方正楷体_GBK"/>
          <w:b w:val="0"/>
          <w:bCs w:val="0"/>
          <w:sz w:val="32"/>
          <w:szCs w:val="32"/>
          <w:lang w:eastAsia="zh-CN"/>
        </w:rPr>
        <w:t>、各乡镇</w:t>
      </w:r>
      <w:r>
        <w:rPr>
          <w:rFonts w:hint="default"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eastAsia="zh-CN"/>
        </w:rPr>
        <w:t>街道</w:t>
      </w:r>
      <w:r>
        <w:rPr>
          <w:rFonts w:hint="default" w:ascii="方正楷体_GBK" w:hAnsi="方正楷体_GBK" w:eastAsia="方正楷体_GBK" w:cs="方正楷体_GBK"/>
          <w:b w:val="0"/>
          <w:bCs w:val="0"/>
          <w:sz w:val="32"/>
          <w:szCs w:val="32"/>
          <w:lang w:eastAsia="zh-CN"/>
        </w:rPr>
        <w:t>）</w:t>
      </w:r>
      <w:r>
        <w:rPr>
          <w:rFonts w:hint="eastAsia" w:ascii="方正仿宋_GBK" w:hAnsi="方正仿宋_GBK" w:eastAsia="方正仿宋_GBK" w:cs="方正仿宋_GBK"/>
          <w:b w:val="0"/>
          <w:bCs w:val="0"/>
          <w:sz w:val="32"/>
          <w:szCs w:val="32"/>
        </w:rPr>
        <w:t>〕</w:t>
      </w:r>
    </w:p>
    <w:p w14:paraId="7FF4CECC">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（二）规范治疗行动</w:t>
      </w:r>
    </w:p>
    <w:p w14:paraId="285D6237">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w:t>
      </w:r>
      <w:r>
        <w:rPr>
          <w:rFonts w:hint="eastAsia"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实施定点收治</w:t>
      </w:r>
      <w:r>
        <w:rPr>
          <w:rFonts w:hint="default" w:ascii="Times New Roman" w:hAnsi="Times New Roman" w:eastAsia="方正仿宋_GBK" w:cs="Times New Roman"/>
          <w:b w:val="0"/>
          <w:bCs w:val="0"/>
          <w:color w:val="000000"/>
          <w:sz w:val="32"/>
          <w:szCs w:val="32"/>
        </w:rPr>
        <w:t>。</w:t>
      </w:r>
      <w:r>
        <w:rPr>
          <w:rFonts w:hint="eastAsia" w:ascii="Times New Roman" w:hAnsi="Times New Roman" w:eastAsia="方正仿宋_GBK" w:cs="Times New Roman"/>
          <w:b w:val="0"/>
          <w:bCs w:val="0"/>
          <w:color w:val="000000"/>
          <w:sz w:val="32"/>
          <w:szCs w:val="32"/>
          <w:lang w:val="en-US" w:eastAsia="zh-CN"/>
        </w:rPr>
        <w:t>按照</w:t>
      </w:r>
      <w:r>
        <w:rPr>
          <w:rFonts w:hint="default" w:ascii="Times New Roman" w:hAnsi="Times New Roman" w:eastAsia="方正仿宋_GBK" w:cs="Times New Roman"/>
          <w:b w:val="0"/>
          <w:bCs w:val="0"/>
          <w:color w:val="000000"/>
          <w:sz w:val="32"/>
          <w:szCs w:val="32"/>
        </w:rPr>
        <w:t>重庆市结核病</w:t>
      </w:r>
      <w:r>
        <w:rPr>
          <w:rFonts w:hint="eastAsia" w:ascii="Times New Roman" w:hAnsi="Times New Roman" w:eastAsia="方正仿宋_GBK" w:cs="Times New Roman"/>
          <w:b w:val="0"/>
          <w:bCs w:val="0"/>
          <w:color w:val="000000"/>
          <w:sz w:val="32"/>
          <w:szCs w:val="32"/>
          <w:lang w:eastAsia="zh-CN"/>
        </w:rPr>
        <w:t>定点医疗机构</w:t>
      </w:r>
      <w:r>
        <w:rPr>
          <w:rFonts w:hint="default" w:ascii="Times New Roman" w:hAnsi="Times New Roman" w:eastAsia="方正仿宋_GBK" w:cs="Times New Roman"/>
          <w:b w:val="0"/>
          <w:bCs w:val="0"/>
          <w:color w:val="000000"/>
          <w:sz w:val="32"/>
          <w:szCs w:val="32"/>
        </w:rPr>
        <w:t>设置标准和管理规范</w:t>
      </w:r>
      <w:r>
        <w:rPr>
          <w:rFonts w:hint="eastAsia" w:ascii="Times New Roman" w:hAnsi="Times New Roman" w:eastAsia="方正仿宋_GBK" w:cs="Times New Roman"/>
          <w:b w:val="0"/>
          <w:bCs w:val="0"/>
          <w:color w:val="000000"/>
          <w:sz w:val="32"/>
          <w:szCs w:val="32"/>
          <w:lang w:eastAsia="zh-CN"/>
        </w:rPr>
        <w:t>，定点医疗机构做好结核病患者的医疗救治</w:t>
      </w:r>
      <w:r>
        <w:rPr>
          <w:rFonts w:hint="default" w:ascii="Times New Roman" w:hAnsi="Times New Roman" w:eastAsia="方正仿宋_GBK" w:cs="Times New Roman"/>
          <w:b w:val="0"/>
          <w:bCs w:val="0"/>
          <w:color w:val="000000"/>
          <w:sz w:val="32"/>
          <w:szCs w:val="32"/>
        </w:rPr>
        <w:t>。全</w:t>
      </w:r>
      <w:r>
        <w:rPr>
          <w:rFonts w:hint="default" w:ascii="Times New Roman" w:hAnsi="Times New Roman" w:eastAsia="方正仿宋_GBK" w:cs="Times New Roman"/>
          <w:b w:val="0"/>
          <w:bCs w:val="0"/>
          <w:color w:val="000000"/>
          <w:sz w:val="32"/>
          <w:szCs w:val="32"/>
          <w:lang w:eastAsia="zh-CN"/>
        </w:rPr>
        <w:t>县</w:t>
      </w:r>
      <w:r>
        <w:rPr>
          <w:rFonts w:hint="default" w:ascii="Times New Roman" w:hAnsi="Times New Roman" w:eastAsia="方正仿宋_GBK" w:cs="Times New Roman"/>
          <w:b w:val="0"/>
          <w:bCs w:val="0"/>
          <w:color w:val="000000"/>
          <w:sz w:val="32"/>
          <w:szCs w:val="32"/>
        </w:rPr>
        <w:t>各级各类医疗机构落实首诊医生负责制，发现结核病患者</w:t>
      </w:r>
      <w:r>
        <w:rPr>
          <w:rFonts w:hint="default" w:ascii="Times New Roman" w:hAnsi="Times New Roman" w:eastAsia="方正仿宋_GBK" w:cs="Times New Roman"/>
          <w:b w:val="0"/>
          <w:bCs w:val="0"/>
          <w:sz w:val="32"/>
          <w:szCs w:val="32"/>
        </w:rPr>
        <w:t>及时转诊。到2027年，全</w:t>
      </w:r>
      <w:r>
        <w:rPr>
          <w:rFonts w:hint="default" w:ascii="Times New Roman" w:hAnsi="Times New Roman" w:eastAsia="方正仿宋_GBK" w:cs="Times New Roman"/>
          <w:b w:val="0"/>
          <w:bCs w:val="0"/>
          <w:sz w:val="32"/>
          <w:szCs w:val="32"/>
          <w:lang w:eastAsia="zh-CN"/>
        </w:rPr>
        <w:t>县</w:t>
      </w:r>
      <w:r>
        <w:rPr>
          <w:rFonts w:hint="default" w:ascii="Times New Roman" w:hAnsi="Times New Roman" w:eastAsia="方正仿宋_GBK" w:cs="Times New Roman"/>
          <w:b w:val="0"/>
          <w:bCs w:val="0"/>
          <w:sz w:val="32"/>
          <w:szCs w:val="32"/>
        </w:rPr>
        <w:t>非定点医疗机构结核病患者和疑似患者转诊到位率达到60%以上，结核病患者和疑似患者总体到位率达到95%以上。（</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default" w:ascii="Times New Roman" w:hAnsi="Times New Roman" w:eastAsia="方正仿宋_GBK" w:cs="Times New Roman"/>
          <w:b w:val="0"/>
          <w:bCs w:val="0"/>
          <w:sz w:val="32"/>
          <w:szCs w:val="32"/>
        </w:rPr>
        <w:t>）</w:t>
      </w:r>
    </w:p>
    <w:p w14:paraId="316A5DBA">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w:t>
      </w:r>
      <w:r>
        <w:rPr>
          <w:rFonts w:hint="eastAsia"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实施传染期结核病患者定点住院治疗。</w:t>
      </w:r>
      <w:r>
        <w:rPr>
          <w:rFonts w:hint="eastAsia" w:ascii="Times New Roman" w:hAnsi="Times New Roman" w:eastAsia="方正仿宋_GBK" w:cs="Times New Roman"/>
          <w:b w:val="0"/>
          <w:bCs w:val="0"/>
          <w:sz w:val="32"/>
          <w:szCs w:val="32"/>
          <w:lang w:eastAsia="zh-CN"/>
        </w:rPr>
        <w:t>根据市级</w:t>
      </w:r>
      <w:r>
        <w:rPr>
          <w:rFonts w:hint="default" w:ascii="Times New Roman" w:hAnsi="Times New Roman" w:eastAsia="方正仿宋_GBK" w:cs="Times New Roman"/>
          <w:b w:val="0"/>
          <w:bCs w:val="0"/>
          <w:sz w:val="32"/>
          <w:szCs w:val="32"/>
        </w:rPr>
        <w:t>传染期结核病患者定点住院治疗指导方案，</w:t>
      </w:r>
      <w:r>
        <w:rPr>
          <w:rFonts w:hint="default" w:ascii="Times New Roman" w:hAnsi="Times New Roman" w:eastAsia="方正仿宋_GBK" w:cs="Times New Roman"/>
          <w:b w:val="0"/>
          <w:bCs w:val="0"/>
          <w:color w:val="auto"/>
          <w:sz w:val="32"/>
          <w:szCs w:val="32"/>
        </w:rPr>
        <w:t>对传染期结核病患者实施定点住院治疗</w:t>
      </w:r>
      <w:r>
        <w:rPr>
          <w:rFonts w:hint="default" w:ascii="Times New Roman" w:hAnsi="Times New Roman" w:eastAsia="方正仿宋_GBK" w:cs="Times New Roman"/>
          <w:b w:val="0"/>
          <w:bCs w:val="0"/>
          <w:sz w:val="32"/>
          <w:szCs w:val="32"/>
        </w:rPr>
        <w:t>。到2030年，全县传染期结核病患者定点住院治疗率达到90%以上。（</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医保局</w:t>
      </w:r>
      <w:r>
        <w:rPr>
          <w:rFonts w:hint="default" w:ascii="Times New Roman" w:hAnsi="Times New Roman" w:eastAsia="方正仿宋_GBK" w:cs="Times New Roman"/>
          <w:b w:val="0"/>
          <w:bCs w:val="0"/>
          <w:sz w:val="32"/>
          <w:szCs w:val="32"/>
        </w:rPr>
        <w:t>）</w:t>
      </w:r>
    </w:p>
    <w:p w14:paraId="284CB383">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3.</w:t>
      </w:r>
      <w:r>
        <w:rPr>
          <w:rFonts w:hint="eastAsia"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实施规范化诊疗。</w:t>
      </w:r>
      <w:r>
        <w:rPr>
          <w:rFonts w:hint="eastAsia" w:ascii="Times New Roman" w:hAnsi="Times New Roman" w:eastAsia="方正仿宋_GBK" w:cs="Times New Roman"/>
          <w:b w:val="0"/>
          <w:bCs w:val="0"/>
          <w:sz w:val="32"/>
          <w:szCs w:val="32"/>
          <w:lang w:eastAsia="zh-CN"/>
        </w:rPr>
        <w:t>县人民医院</w:t>
      </w:r>
      <w:r>
        <w:rPr>
          <w:rFonts w:hint="default" w:ascii="Times New Roman" w:hAnsi="Times New Roman" w:eastAsia="方正仿宋_GBK" w:cs="Times New Roman"/>
          <w:b w:val="0"/>
          <w:bCs w:val="0"/>
          <w:sz w:val="32"/>
          <w:szCs w:val="32"/>
        </w:rPr>
        <w:t>对所有新诊断报告的结核病患者开展病原学检查并登记管理，病原学阳性检出率保持在60%以上；到2030年报告结核病患者登记率达到95%以上。完善病原学阴性结核病诊疗专家组会诊制度。到2027年，标准治疗方案使用率达到90%以上，固定剂量复合制剂使用比例达到85%以上。（</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default" w:ascii="Times New Roman" w:hAnsi="Times New Roman" w:eastAsia="方正仿宋_GBK" w:cs="Times New Roman"/>
          <w:b w:val="0"/>
          <w:bCs w:val="0"/>
          <w:sz w:val="32"/>
          <w:szCs w:val="32"/>
        </w:rPr>
        <w:t>）</w:t>
      </w:r>
    </w:p>
    <w:p w14:paraId="27DB6B7C">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4.</w:t>
      </w:r>
      <w:r>
        <w:rPr>
          <w:rFonts w:hint="eastAsia"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加强随访管理。</w:t>
      </w:r>
      <w:r>
        <w:rPr>
          <w:rFonts w:hint="eastAsia" w:ascii="Times New Roman" w:hAnsi="Times New Roman" w:eastAsia="方正仿宋_GBK" w:cs="Times New Roman"/>
          <w:b w:val="0"/>
          <w:bCs w:val="0"/>
          <w:sz w:val="32"/>
          <w:szCs w:val="32"/>
          <w:lang w:eastAsia="zh-CN"/>
        </w:rPr>
        <w:t>县人民医院</w:t>
      </w:r>
      <w:r>
        <w:rPr>
          <w:rFonts w:hint="default" w:ascii="Times New Roman" w:hAnsi="Times New Roman" w:eastAsia="方正仿宋_GBK" w:cs="Times New Roman"/>
          <w:b w:val="0"/>
          <w:bCs w:val="0"/>
          <w:sz w:val="32"/>
          <w:szCs w:val="32"/>
        </w:rPr>
        <w:t>要及时将结核病患者全程治疗信息反馈至基层医疗卫生机构或</w:t>
      </w:r>
      <w:r>
        <w:rPr>
          <w:rFonts w:hint="eastAsia" w:eastAsia="方正仿宋_GBK" w:cs="Times New Roman"/>
          <w:b w:val="0"/>
          <w:bCs w:val="0"/>
          <w:sz w:val="32"/>
          <w:szCs w:val="32"/>
          <w:lang w:eastAsia="zh-CN"/>
        </w:rPr>
        <w:t>县</w:t>
      </w:r>
      <w:r>
        <w:rPr>
          <w:rFonts w:hint="default" w:ascii="Times New Roman" w:hAnsi="Times New Roman" w:eastAsia="方正仿宋_GBK" w:cs="Times New Roman"/>
          <w:b w:val="0"/>
          <w:bCs w:val="0"/>
          <w:sz w:val="32"/>
          <w:szCs w:val="32"/>
        </w:rPr>
        <w:t>疾控</w:t>
      </w:r>
      <w:r>
        <w:rPr>
          <w:rFonts w:hint="default" w:ascii="Times New Roman" w:hAnsi="Times New Roman" w:eastAsia="方正仿宋_GBK" w:cs="Times New Roman"/>
          <w:b w:val="0"/>
          <w:bCs w:val="0"/>
          <w:sz w:val="32"/>
          <w:szCs w:val="32"/>
          <w:lang w:val="en-US" w:eastAsia="zh-CN"/>
        </w:rPr>
        <w:t>中心</w:t>
      </w:r>
      <w:r>
        <w:rPr>
          <w:rFonts w:hint="default" w:ascii="Times New Roman" w:hAnsi="Times New Roman" w:eastAsia="方正仿宋_GBK" w:cs="Times New Roman"/>
          <w:b w:val="0"/>
          <w:bCs w:val="0"/>
          <w:sz w:val="32"/>
          <w:szCs w:val="32"/>
        </w:rPr>
        <w:t>，患者管理率、规范管理率和规则服药率保持在90%以上。加强对流动结核病患者的登记管理和随访，及时转出和转入，定点医疗机构规范出具休复学（课、工）诊断证明。</w:t>
      </w:r>
      <w:r>
        <w:rPr>
          <w:rFonts w:hint="eastAsia" w:ascii="方正仿宋_GBK" w:hAnsi="方正仿宋_GBK" w:eastAsia="方正仿宋_GBK" w:cs="方正仿宋_GBK"/>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教委</w:t>
      </w:r>
      <w:r>
        <w:rPr>
          <w:rFonts w:hint="eastAsia" w:ascii="方正楷体_GBK" w:hAnsi="方正楷体_GBK" w:eastAsia="方正楷体_GBK" w:cs="方正楷体_GBK"/>
          <w:b w:val="0"/>
          <w:bCs w:val="0"/>
          <w:sz w:val="32"/>
          <w:szCs w:val="32"/>
          <w:lang w:eastAsia="zh-CN"/>
        </w:rPr>
        <w:t>、各乡镇</w:t>
      </w:r>
      <w:r>
        <w:rPr>
          <w:rFonts w:hint="default"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eastAsia="zh-CN"/>
        </w:rPr>
        <w:t>街道</w:t>
      </w:r>
      <w:r>
        <w:rPr>
          <w:rFonts w:hint="default" w:ascii="方正楷体_GBK" w:hAnsi="方正楷体_GBK" w:eastAsia="方正楷体_GBK" w:cs="方正楷体_GBK"/>
          <w:b w:val="0"/>
          <w:bCs w:val="0"/>
          <w:sz w:val="32"/>
          <w:szCs w:val="32"/>
          <w:lang w:eastAsia="zh-CN"/>
        </w:rPr>
        <w:t>）</w:t>
      </w:r>
      <w:r>
        <w:rPr>
          <w:rFonts w:hint="eastAsia" w:ascii="方正仿宋_GBK" w:hAnsi="方正仿宋_GBK" w:eastAsia="方正仿宋_GBK" w:cs="方正仿宋_GBK"/>
          <w:b w:val="0"/>
          <w:bCs w:val="0"/>
          <w:sz w:val="32"/>
          <w:szCs w:val="32"/>
        </w:rPr>
        <w:t>〕</w:t>
      </w:r>
    </w:p>
    <w:p w14:paraId="1678E3A4">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5. 提高诊疗服务可及性。依托基层医疗卫生机构设置延伸服务点，提供肝肾功能检查和取药服务，县人民医院提供技术指导。到2027年，该项诊疗服务乡镇覆盖率达到70%以上。鼓励基层医疗卫生机构提供送医、送药上门或远程医疗服务，学校要安排专人负责休复学（课、工）、接受预防性治疗的学生、教职工服药管理，监管场所医疗机构要将出监（所）且正在治疗的结核病患者及时转至县人民医院继续实施治疗管理。（</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教委、</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公安局</w:t>
      </w:r>
      <w:r>
        <w:rPr>
          <w:rFonts w:hint="default" w:ascii="Times New Roman" w:hAnsi="Times New Roman" w:eastAsia="方正仿宋_GBK" w:cs="Times New Roman"/>
          <w:b w:val="0"/>
          <w:bCs w:val="0"/>
          <w:sz w:val="32"/>
          <w:szCs w:val="32"/>
        </w:rPr>
        <w:t>）</w:t>
      </w:r>
    </w:p>
    <w:p w14:paraId="16E7DC93">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（三）遏制耐药结核行动</w:t>
      </w:r>
    </w:p>
    <w:p w14:paraId="07F46C7C">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w:t>
      </w:r>
      <w:r>
        <w:rPr>
          <w:rFonts w:hint="eastAsia"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加大筛查、转诊及监测力度。</w:t>
      </w:r>
      <w:r>
        <w:rPr>
          <w:rFonts w:hint="eastAsia" w:ascii="Times New Roman" w:hAnsi="Times New Roman" w:eastAsia="方正仿宋_GBK" w:cs="Times New Roman"/>
          <w:b w:val="0"/>
          <w:bCs w:val="0"/>
          <w:sz w:val="32"/>
          <w:szCs w:val="32"/>
          <w:lang w:eastAsia="zh-CN"/>
        </w:rPr>
        <w:t>县人民医院</w:t>
      </w:r>
      <w:r>
        <w:rPr>
          <w:rFonts w:hint="default" w:ascii="Times New Roman" w:hAnsi="Times New Roman" w:eastAsia="方正仿宋_GBK" w:cs="Times New Roman"/>
          <w:b w:val="0"/>
          <w:bCs w:val="0"/>
          <w:sz w:val="32"/>
          <w:szCs w:val="32"/>
        </w:rPr>
        <w:t>对结核病患者开展耐药筛查，耐药筛查率达到95%以上，对发现的耐药结核病患者要及时转至</w:t>
      </w:r>
      <w:r>
        <w:rPr>
          <w:rFonts w:hint="default" w:ascii="Times New Roman" w:hAnsi="Times New Roman" w:eastAsia="方正仿宋_GBK" w:cs="Times New Roman"/>
          <w:b w:val="0"/>
          <w:bCs w:val="0"/>
          <w:sz w:val="32"/>
          <w:szCs w:val="32"/>
          <w:lang w:val="en-US" w:eastAsia="zh-CN"/>
        </w:rPr>
        <w:t>市级</w:t>
      </w:r>
      <w:r>
        <w:rPr>
          <w:rFonts w:hint="default" w:ascii="Times New Roman" w:hAnsi="Times New Roman" w:eastAsia="方正仿宋_GBK" w:cs="Times New Roman"/>
          <w:b w:val="0"/>
          <w:bCs w:val="0"/>
          <w:sz w:val="32"/>
          <w:szCs w:val="32"/>
        </w:rPr>
        <w:t>耐药结核病</w:t>
      </w:r>
      <w:r>
        <w:rPr>
          <w:rFonts w:hint="eastAsia" w:ascii="Times New Roman" w:hAnsi="Times New Roman" w:eastAsia="方正仿宋_GBK" w:cs="Times New Roman"/>
          <w:b w:val="0"/>
          <w:bCs w:val="0"/>
          <w:sz w:val="32"/>
          <w:szCs w:val="32"/>
          <w:lang w:eastAsia="zh-CN"/>
        </w:rPr>
        <w:t>定点医疗机构</w:t>
      </w:r>
      <w:r>
        <w:rPr>
          <w:rFonts w:hint="default" w:ascii="Times New Roman" w:hAnsi="Times New Roman" w:eastAsia="方正仿宋_GBK" w:cs="Times New Roman"/>
          <w:b w:val="0"/>
          <w:bCs w:val="0"/>
          <w:sz w:val="32"/>
          <w:szCs w:val="32"/>
        </w:rPr>
        <w:t>诊治，转诊率达到100%。（</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default" w:ascii="Times New Roman" w:hAnsi="Times New Roman" w:eastAsia="方正仿宋_GBK" w:cs="Times New Roman"/>
          <w:b w:val="0"/>
          <w:bCs w:val="0"/>
          <w:sz w:val="32"/>
          <w:szCs w:val="32"/>
        </w:rPr>
        <w:t>）</w:t>
      </w:r>
    </w:p>
    <w:p w14:paraId="52A28A48">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 规范耐药结核病诊疗。对耐药结核病患者实施耐药结核病定点住院治疗，建立</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一人一案</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治疗方案。到2027年，全县耐药结核病患者定点治疗率达到90%以上；到2030年，全县耐药结核病患者纳入治疗率达到95%以上，成功治疗率达到75%以上。（</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default" w:ascii="Times New Roman" w:hAnsi="Times New Roman" w:eastAsia="方正仿宋_GBK" w:cs="Times New Roman"/>
          <w:b w:val="0"/>
          <w:bCs w:val="0"/>
          <w:sz w:val="32"/>
          <w:szCs w:val="32"/>
        </w:rPr>
        <w:t>）</w:t>
      </w:r>
    </w:p>
    <w:p w14:paraId="3B3573A9">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3.</w:t>
      </w:r>
      <w:r>
        <w:rPr>
          <w:rFonts w:hint="eastAsia"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落实耐药结核病患者管理。</w:t>
      </w:r>
      <w:r>
        <w:rPr>
          <w:rFonts w:hint="eastAsia" w:ascii="Times New Roman" w:hAnsi="Times New Roman" w:eastAsia="方正仿宋_GBK" w:cs="Times New Roman"/>
          <w:b w:val="0"/>
          <w:bCs w:val="0"/>
          <w:color w:val="000000"/>
          <w:sz w:val="32"/>
          <w:szCs w:val="32"/>
          <w:lang w:eastAsia="zh-CN"/>
        </w:rPr>
        <w:t>县</w:t>
      </w:r>
      <w:r>
        <w:rPr>
          <w:rFonts w:hint="default" w:ascii="Times New Roman" w:hAnsi="Times New Roman" w:eastAsia="方正仿宋_GBK" w:cs="Times New Roman"/>
          <w:b w:val="0"/>
          <w:bCs w:val="0"/>
          <w:color w:val="000000"/>
          <w:sz w:val="32"/>
          <w:szCs w:val="32"/>
        </w:rPr>
        <w:t>疾控</w:t>
      </w:r>
      <w:r>
        <w:rPr>
          <w:rFonts w:hint="default" w:ascii="Times New Roman" w:hAnsi="Times New Roman" w:eastAsia="方正仿宋_GBK" w:cs="Times New Roman"/>
          <w:b w:val="0"/>
          <w:bCs w:val="0"/>
          <w:color w:val="000000"/>
          <w:sz w:val="32"/>
          <w:szCs w:val="32"/>
          <w:lang w:val="en-US" w:eastAsia="zh-CN"/>
        </w:rPr>
        <w:t>中心</w:t>
      </w:r>
      <w:r>
        <w:rPr>
          <w:rFonts w:hint="eastAsia" w:ascii="Times New Roman" w:hAnsi="Times New Roman" w:eastAsia="方正仿宋_GBK" w:cs="Times New Roman"/>
          <w:b w:val="0"/>
          <w:bCs w:val="0"/>
          <w:color w:val="000000"/>
          <w:sz w:val="32"/>
          <w:szCs w:val="32"/>
          <w:lang w:eastAsia="zh-CN"/>
        </w:rPr>
        <w:t>根据</w:t>
      </w:r>
      <w:r>
        <w:rPr>
          <w:rFonts w:hint="default" w:ascii="Times New Roman" w:hAnsi="Times New Roman" w:eastAsia="方正仿宋_GBK" w:cs="Times New Roman"/>
          <w:b w:val="0"/>
          <w:bCs w:val="0"/>
          <w:color w:val="000000"/>
          <w:sz w:val="32"/>
          <w:szCs w:val="32"/>
          <w:lang w:val="en-US" w:eastAsia="zh-CN"/>
        </w:rPr>
        <w:t>市级</w:t>
      </w:r>
      <w:r>
        <w:rPr>
          <w:rFonts w:hint="default" w:ascii="Times New Roman" w:hAnsi="Times New Roman" w:eastAsia="方正仿宋_GBK" w:cs="Times New Roman"/>
          <w:b w:val="0"/>
          <w:bCs w:val="0"/>
          <w:color w:val="000000"/>
          <w:sz w:val="32"/>
          <w:szCs w:val="32"/>
        </w:rPr>
        <w:t>耐药结核病</w:t>
      </w:r>
      <w:r>
        <w:rPr>
          <w:rFonts w:hint="eastAsia" w:ascii="Times New Roman" w:hAnsi="Times New Roman" w:eastAsia="方正仿宋_GBK" w:cs="Times New Roman"/>
          <w:b w:val="0"/>
          <w:bCs w:val="0"/>
          <w:color w:val="000000"/>
          <w:sz w:val="32"/>
          <w:szCs w:val="32"/>
          <w:lang w:eastAsia="zh-CN"/>
        </w:rPr>
        <w:t>定点医疗机构的</w:t>
      </w:r>
      <w:r>
        <w:rPr>
          <w:rFonts w:hint="default" w:ascii="Times New Roman" w:hAnsi="Times New Roman" w:eastAsia="方正仿宋_GBK" w:cs="Times New Roman"/>
          <w:b w:val="0"/>
          <w:bCs w:val="0"/>
          <w:color w:val="000000"/>
          <w:sz w:val="32"/>
          <w:szCs w:val="32"/>
        </w:rPr>
        <w:t>反馈</w:t>
      </w:r>
      <w:r>
        <w:rPr>
          <w:rFonts w:hint="eastAsia" w:ascii="Times New Roman" w:hAnsi="Times New Roman" w:eastAsia="方正仿宋_GBK" w:cs="Times New Roman"/>
          <w:b w:val="0"/>
          <w:bCs w:val="0"/>
          <w:color w:val="000000"/>
          <w:sz w:val="32"/>
          <w:szCs w:val="32"/>
          <w:lang w:eastAsia="zh-CN"/>
        </w:rPr>
        <w:t>，及时把</w:t>
      </w:r>
      <w:r>
        <w:rPr>
          <w:rFonts w:hint="default" w:ascii="Times New Roman" w:hAnsi="Times New Roman" w:eastAsia="方正仿宋_GBK" w:cs="Times New Roman"/>
          <w:b w:val="0"/>
          <w:bCs w:val="0"/>
          <w:color w:val="000000"/>
          <w:sz w:val="32"/>
          <w:szCs w:val="32"/>
        </w:rPr>
        <w:t>全程</w:t>
      </w:r>
      <w:r>
        <w:rPr>
          <w:rFonts w:hint="eastAsia" w:ascii="Times New Roman" w:hAnsi="Times New Roman" w:eastAsia="方正仿宋_GBK" w:cs="Times New Roman"/>
          <w:b w:val="0"/>
          <w:bCs w:val="0"/>
          <w:color w:val="000000"/>
          <w:sz w:val="32"/>
          <w:szCs w:val="32"/>
          <w:lang w:eastAsia="zh-CN"/>
        </w:rPr>
        <w:t>信息推送给患者现在所居住的</w:t>
      </w:r>
      <w:r>
        <w:rPr>
          <w:rFonts w:hint="default" w:ascii="Times New Roman" w:hAnsi="Times New Roman" w:eastAsia="方正仿宋_GBK" w:cs="Times New Roman"/>
          <w:b w:val="0"/>
          <w:bCs w:val="0"/>
          <w:color w:val="000000"/>
          <w:sz w:val="32"/>
          <w:szCs w:val="32"/>
        </w:rPr>
        <w:t>基层医疗卫生机构</w:t>
      </w:r>
      <w:r>
        <w:rPr>
          <w:rFonts w:hint="eastAsia" w:ascii="Times New Roman" w:hAnsi="Times New Roman" w:eastAsia="方正仿宋_GBK" w:cs="Times New Roman"/>
          <w:b w:val="0"/>
          <w:bCs w:val="0"/>
          <w:color w:val="000000"/>
          <w:sz w:val="32"/>
          <w:szCs w:val="32"/>
          <w:lang w:eastAsia="zh-CN"/>
        </w:rPr>
        <w:t>，</w:t>
      </w:r>
      <w:r>
        <w:rPr>
          <w:rFonts w:hint="default" w:ascii="Times New Roman" w:hAnsi="Times New Roman" w:eastAsia="方正仿宋_GBK" w:cs="Times New Roman"/>
          <w:b w:val="0"/>
          <w:bCs w:val="0"/>
          <w:color w:val="000000"/>
          <w:sz w:val="32"/>
          <w:szCs w:val="32"/>
        </w:rPr>
        <w:t>基层医疗卫生机构按要求做好健康管理服务工作。</w:t>
      </w:r>
      <w:r>
        <w:rPr>
          <w:rFonts w:hint="eastAsia" w:ascii="方正仿宋_GBK" w:hAnsi="方正仿宋_GBK" w:eastAsia="方正仿宋_GBK" w:cs="方正仿宋_GBK"/>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val="en-US" w:eastAsia="zh-CN"/>
        </w:rPr>
        <w:t>县</w:t>
      </w:r>
      <w:r>
        <w:rPr>
          <w:rFonts w:hint="default" w:ascii="方正楷体_GBK" w:hAnsi="方正楷体_GBK" w:eastAsia="方正楷体_GBK" w:cs="方正楷体_GBK"/>
          <w:b w:val="0"/>
          <w:bCs w:val="0"/>
          <w:sz w:val="32"/>
          <w:szCs w:val="32"/>
        </w:rPr>
        <w:t>卫生健康委</w:t>
      </w:r>
      <w:r>
        <w:rPr>
          <w:rFonts w:hint="eastAsia" w:ascii="方正楷体_GBK" w:hAnsi="方正楷体_GBK" w:eastAsia="方正楷体_GBK" w:cs="方正楷体_GBK"/>
          <w:b w:val="0"/>
          <w:bCs w:val="0"/>
          <w:sz w:val="32"/>
          <w:szCs w:val="32"/>
          <w:lang w:eastAsia="zh-CN"/>
        </w:rPr>
        <w:t>、各乡镇</w:t>
      </w:r>
      <w:r>
        <w:rPr>
          <w:rFonts w:hint="default"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eastAsia="zh-CN"/>
        </w:rPr>
        <w:t>街道</w:t>
      </w:r>
      <w:r>
        <w:rPr>
          <w:rFonts w:hint="default" w:ascii="方正楷体_GBK" w:hAnsi="方正楷体_GBK" w:eastAsia="方正楷体_GBK" w:cs="方正楷体_GBK"/>
          <w:b w:val="0"/>
          <w:bCs w:val="0"/>
          <w:sz w:val="32"/>
          <w:szCs w:val="32"/>
          <w:lang w:eastAsia="zh-CN"/>
        </w:rPr>
        <w:t>）</w:t>
      </w:r>
      <w:r>
        <w:rPr>
          <w:rFonts w:hint="eastAsia" w:ascii="方正仿宋_GBK" w:hAnsi="方正仿宋_GBK" w:eastAsia="方正仿宋_GBK" w:cs="方正仿宋_GBK"/>
          <w:b w:val="0"/>
          <w:bCs w:val="0"/>
          <w:sz w:val="32"/>
          <w:szCs w:val="32"/>
        </w:rPr>
        <w:t>〕</w:t>
      </w:r>
    </w:p>
    <w:p w14:paraId="71EE491F">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（四）患者关爱行动</w:t>
      </w:r>
    </w:p>
    <w:p w14:paraId="01DEA525">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w:t>
      </w:r>
      <w:r>
        <w:rPr>
          <w:rFonts w:hint="eastAsia" w:ascii="Times New Roman" w:hAnsi="Times New Roman" w:eastAsia="方正仿宋_GBK" w:cs="Times New Roman"/>
          <w:b w:val="0"/>
          <w:bCs w:val="0"/>
          <w:sz w:val="32"/>
          <w:szCs w:val="32"/>
          <w:lang w:val="en-US" w:eastAsia="zh-CN"/>
        </w:rPr>
        <w:t>.</w:t>
      </w:r>
      <w:r>
        <w:rPr>
          <w:rFonts w:hint="eastAsia"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加强医药保障。按照国家医疗保险目录管理</w:t>
      </w:r>
      <w:r>
        <w:rPr>
          <w:rFonts w:hint="default" w:ascii="Times New Roman" w:hAnsi="Times New Roman" w:eastAsia="方正仿宋_GBK" w:cs="Times New Roman"/>
          <w:b w:val="0"/>
          <w:bCs w:val="0"/>
          <w:sz w:val="32"/>
          <w:szCs w:val="32"/>
          <w:lang w:val="en-US" w:eastAsia="zh-CN"/>
        </w:rPr>
        <w:t>和市级政策</w:t>
      </w:r>
      <w:r>
        <w:rPr>
          <w:rFonts w:hint="default" w:ascii="Times New Roman" w:hAnsi="Times New Roman" w:eastAsia="方正仿宋_GBK" w:cs="Times New Roman"/>
          <w:b w:val="0"/>
          <w:bCs w:val="0"/>
          <w:sz w:val="32"/>
          <w:szCs w:val="32"/>
        </w:rPr>
        <w:t>有关规定，将符合条件的诊疗项目及药品纳入基本医疗保险支付范围，适时调整结核病（包括耐药结核病患者）基本医疗保险门诊、住院特殊病种支付限额。</w:t>
      </w:r>
      <w:r>
        <w:rPr>
          <w:rFonts w:hint="default" w:ascii="Times New Roman" w:hAnsi="Times New Roman" w:eastAsia="方正仿宋_GBK" w:cs="Times New Roman"/>
          <w:b w:val="0"/>
          <w:bCs w:val="0"/>
          <w:color w:val="000000"/>
          <w:sz w:val="32"/>
          <w:szCs w:val="32"/>
        </w:rPr>
        <w:t>组织开展抗结核药品集中带量采购，对治疗耐药结核病效果良好、但价格较为昂贵的二线抗结核药物不纳入药占比计算范围。（</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医保局、</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default" w:ascii="Times New Roman" w:hAnsi="Times New Roman" w:eastAsia="方正仿宋_GBK" w:cs="Times New Roman"/>
          <w:b w:val="0"/>
          <w:bCs w:val="0"/>
          <w:sz w:val="32"/>
          <w:szCs w:val="32"/>
        </w:rPr>
        <w:t>）</w:t>
      </w:r>
    </w:p>
    <w:p w14:paraId="7537A050">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w:t>
      </w:r>
      <w:r>
        <w:rPr>
          <w:rFonts w:hint="eastAsia" w:ascii="Times New Roman" w:hAnsi="Times New Roman" w:eastAsia="方正仿宋_GBK" w:cs="Times New Roman"/>
          <w:b w:val="0"/>
          <w:bCs w:val="0"/>
          <w:sz w:val="32"/>
          <w:szCs w:val="32"/>
          <w:lang w:val="en-US" w:eastAsia="zh-CN"/>
        </w:rPr>
        <w:t>.</w:t>
      </w:r>
      <w:r>
        <w:rPr>
          <w:rFonts w:hint="eastAsia"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开展其他救助。</w:t>
      </w:r>
      <w:r>
        <w:rPr>
          <w:rFonts w:hint="eastAsia" w:eastAsia="方正仿宋_GBK" w:cs="Times New Roman"/>
          <w:b w:val="0"/>
          <w:bCs w:val="0"/>
          <w:sz w:val="32"/>
          <w:szCs w:val="32"/>
          <w:lang w:eastAsia="zh-CN"/>
        </w:rPr>
        <w:t>县</w:t>
      </w:r>
      <w:r>
        <w:rPr>
          <w:rFonts w:hint="default" w:ascii="Times New Roman" w:hAnsi="Times New Roman" w:eastAsia="方正仿宋_GBK" w:cs="Times New Roman"/>
          <w:b w:val="0"/>
          <w:bCs w:val="0"/>
          <w:sz w:val="32"/>
          <w:szCs w:val="32"/>
        </w:rPr>
        <w:t>民政</w:t>
      </w:r>
      <w:r>
        <w:rPr>
          <w:rFonts w:hint="eastAsia" w:eastAsia="方正仿宋_GBK" w:cs="Times New Roman"/>
          <w:b w:val="0"/>
          <w:bCs w:val="0"/>
          <w:sz w:val="32"/>
          <w:szCs w:val="32"/>
          <w:lang w:eastAsia="zh-CN"/>
        </w:rPr>
        <w:t>局</w:t>
      </w:r>
      <w:r>
        <w:rPr>
          <w:rFonts w:hint="default" w:ascii="Times New Roman" w:hAnsi="Times New Roman" w:eastAsia="方正仿宋_GBK" w:cs="Times New Roman"/>
          <w:b w:val="0"/>
          <w:bCs w:val="0"/>
          <w:sz w:val="32"/>
          <w:szCs w:val="32"/>
        </w:rPr>
        <w:t>对符合条件的困难结核病患者实施最低生活保障。</w:t>
      </w:r>
      <w:r>
        <w:rPr>
          <w:rFonts w:hint="eastAsia" w:eastAsia="方正仿宋_GBK" w:cs="Times New Roman"/>
          <w:b w:val="0"/>
          <w:bCs w:val="0"/>
          <w:sz w:val="32"/>
          <w:szCs w:val="32"/>
          <w:lang w:eastAsia="zh-CN"/>
        </w:rPr>
        <w:t>县</w:t>
      </w:r>
      <w:r>
        <w:rPr>
          <w:rFonts w:hint="default" w:ascii="Times New Roman" w:hAnsi="Times New Roman" w:eastAsia="方正仿宋_GBK" w:cs="Times New Roman"/>
          <w:b w:val="0"/>
          <w:bCs w:val="0"/>
          <w:sz w:val="32"/>
          <w:szCs w:val="32"/>
        </w:rPr>
        <w:t>红十字会、慈善组织、社会组织等为符合条件的结核病患者开展慈善帮扶。</w:t>
      </w:r>
      <w:r>
        <w:rPr>
          <w:rFonts w:hint="default" w:ascii="Times New Roman" w:hAnsi="Times New Roman" w:eastAsia="方正仿宋_GBK" w:cs="Times New Roman"/>
          <w:b w:val="0"/>
          <w:bCs w:val="0"/>
          <w:color w:val="000000"/>
          <w:sz w:val="32"/>
          <w:szCs w:val="32"/>
        </w:rPr>
        <w:t>探索设立专项慈善基金，对符合条件的结核病患者予以救助。</w:t>
      </w:r>
      <w:r>
        <w:rPr>
          <w:rFonts w:hint="eastAsia" w:ascii="方正仿宋_GBK" w:hAnsi="方正仿宋_GBK" w:eastAsia="方正仿宋_GBK" w:cs="方正仿宋_GBK"/>
          <w:b w:val="0"/>
          <w:bCs w:val="0"/>
          <w:sz w:val="32"/>
          <w:szCs w:val="32"/>
          <w:lang w:eastAsia="zh-CN"/>
        </w:rPr>
        <w:t>〔</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民政局、</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红十字会</w:t>
      </w:r>
      <w:r>
        <w:rPr>
          <w:rFonts w:hint="eastAsia" w:ascii="方正楷体_GBK" w:hAnsi="方正楷体_GBK" w:eastAsia="方正楷体_GBK" w:cs="方正楷体_GBK"/>
          <w:b w:val="0"/>
          <w:bCs w:val="0"/>
          <w:sz w:val="32"/>
          <w:szCs w:val="32"/>
          <w:lang w:eastAsia="zh-CN"/>
        </w:rPr>
        <w:t>、</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eastAsia" w:ascii="方正楷体_GBK" w:hAnsi="方正楷体_GBK" w:eastAsia="方正楷体_GBK" w:cs="方正楷体_GBK"/>
          <w:b w:val="0"/>
          <w:bCs w:val="0"/>
          <w:sz w:val="32"/>
          <w:szCs w:val="32"/>
          <w:lang w:eastAsia="zh-CN"/>
        </w:rPr>
        <w:t>、各乡镇</w:t>
      </w:r>
      <w:r>
        <w:rPr>
          <w:rFonts w:hint="default"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eastAsia="zh-CN"/>
        </w:rPr>
        <w:t>街道</w:t>
      </w:r>
      <w:r>
        <w:rPr>
          <w:rFonts w:hint="default" w:ascii="方正楷体_GBK" w:hAnsi="方正楷体_GBK" w:eastAsia="方正楷体_GBK" w:cs="方正楷体_GBK"/>
          <w:b w:val="0"/>
          <w:bCs w:val="0"/>
          <w:sz w:val="32"/>
          <w:szCs w:val="32"/>
          <w:lang w:eastAsia="zh-CN"/>
        </w:rPr>
        <w:t>）</w:t>
      </w:r>
      <w:r>
        <w:rPr>
          <w:rFonts w:hint="eastAsia" w:ascii="方正仿宋_GBK" w:hAnsi="方正仿宋_GBK" w:eastAsia="方正仿宋_GBK" w:cs="方正仿宋_GBK"/>
          <w:b w:val="0"/>
          <w:bCs w:val="0"/>
          <w:sz w:val="32"/>
          <w:szCs w:val="32"/>
          <w:lang w:eastAsia="zh-CN"/>
        </w:rPr>
        <w:t>〕</w:t>
      </w:r>
    </w:p>
    <w:p w14:paraId="47BE7C62">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3</w:t>
      </w:r>
      <w:r>
        <w:rPr>
          <w:rFonts w:hint="eastAsia" w:ascii="Times New Roman" w:hAnsi="Times New Roman" w:eastAsia="方正仿宋_GBK" w:cs="Times New Roman"/>
          <w:b w:val="0"/>
          <w:bCs w:val="0"/>
          <w:sz w:val="32"/>
          <w:szCs w:val="32"/>
          <w:lang w:val="en-US" w:eastAsia="zh-CN"/>
        </w:rPr>
        <w:t>.</w:t>
      </w:r>
      <w:r>
        <w:rPr>
          <w:rFonts w:hint="eastAsia"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实施既往患者关怀计划。高疫情乡镇（街道）每年对近5年内既往结核病患者及家属开展随访观察，对有症状者开展结核病检查，中、低疫情乡镇（街道）可参照实施。（</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default" w:ascii="Times New Roman" w:hAnsi="Times New Roman" w:eastAsia="方正仿宋_GBK" w:cs="Times New Roman"/>
          <w:b w:val="0"/>
          <w:bCs w:val="0"/>
          <w:sz w:val="32"/>
          <w:szCs w:val="32"/>
        </w:rPr>
        <w:t>）</w:t>
      </w:r>
    </w:p>
    <w:p w14:paraId="452C29D9">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（五）预防阻断行动</w:t>
      </w:r>
    </w:p>
    <w:p w14:paraId="5F82D459">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w:t>
      </w:r>
      <w:r>
        <w:rPr>
          <w:rFonts w:hint="eastAsia" w:ascii="Times New Roman" w:hAnsi="Times New Roman" w:eastAsia="方正仿宋_GBK" w:cs="Times New Roman"/>
          <w:b w:val="0"/>
          <w:bCs w:val="0"/>
          <w:sz w:val="32"/>
          <w:szCs w:val="32"/>
          <w:lang w:val="en-US" w:eastAsia="zh-CN"/>
        </w:rPr>
        <w:t>.</w:t>
      </w:r>
      <w:r>
        <w:rPr>
          <w:rFonts w:hint="eastAsia"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做好卡介苗预防接种。落实无接种禁忌症的新生儿卡介苗预防接种，新生儿预防接种率达到95%，加强接种全程管理。（</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default" w:ascii="Times New Roman" w:hAnsi="Times New Roman" w:eastAsia="方正仿宋_GBK" w:cs="Times New Roman"/>
          <w:b w:val="0"/>
          <w:bCs w:val="0"/>
          <w:sz w:val="32"/>
          <w:szCs w:val="32"/>
        </w:rPr>
        <w:t>）</w:t>
      </w:r>
    </w:p>
    <w:p w14:paraId="5F2A00DC">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w:t>
      </w:r>
      <w:r>
        <w:rPr>
          <w:rFonts w:hint="eastAsia" w:ascii="Times New Roman" w:hAnsi="Times New Roman" w:eastAsia="方正仿宋_GBK" w:cs="Times New Roman"/>
          <w:b w:val="0"/>
          <w:bCs w:val="0"/>
          <w:sz w:val="32"/>
          <w:szCs w:val="32"/>
          <w:lang w:val="en-US" w:eastAsia="zh-CN"/>
        </w:rPr>
        <w:t>.</w:t>
      </w:r>
      <w:r>
        <w:rPr>
          <w:rFonts w:hint="eastAsia"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开展预防性治疗。</w:t>
      </w:r>
      <w:r>
        <w:rPr>
          <w:rFonts w:hint="default" w:ascii="Times New Roman" w:hAnsi="Times New Roman" w:eastAsia="方正仿宋_GBK" w:cs="Times New Roman"/>
          <w:b w:val="0"/>
          <w:bCs w:val="0"/>
          <w:color w:val="000000"/>
          <w:sz w:val="32"/>
          <w:szCs w:val="32"/>
        </w:rPr>
        <w:t>规范设立</w:t>
      </w:r>
      <w:r>
        <w:rPr>
          <w:rFonts w:hint="default" w:ascii="Times New Roman" w:hAnsi="Times New Roman" w:eastAsia="方正仿宋_GBK" w:cs="Times New Roman"/>
          <w:b w:val="0"/>
          <w:bCs w:val="0"/>
          <w:color w:val="000000"/>
          <w:sz w:val="32"/>
          <w:szCs w:val="32"/>
          <w:lang w:val="en-US" w:eastAsia="zh-CN"/>
        </w:rPr>
        <w:t>县级</w:t>
      </w:r>
      <w:r>
        <w:rPr>
          <w:rFonts w:hint="default" w:ascii="Times New Roman" w:hAnsi="Times New Roman" w:eastAsia="方正仿宋_GBK" w:cs="Times New Roman"/>
          <w:b w:val="0"/>
          <w:bCs w:val="0"/>
          <w:color w:val="000000"/>
          <w:sz w:val="32"/>
          <w:szCs w:val="32"/>
        </w:rPr>
        <w:t>结核潜伏感染者预防性治疗门诊。学校、养老机</w:t>
      </w:r>
      <w:r>
        <w:rPr>
          <w:rFonts w:hint="default" w:ascii="Times New Roman" w:hAnsi="Times New Roman" w:eastAsia="方正仿宋_GBK" w:cs="Times New Roman"/>
          <w:b w:val="0"/>
          <w:bCs w:val="0"/>
          <w:sz w:val="32"/>
          <w:szCs w:val="32"/>
        </w:rPr>
        <w:t>构、</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监所</w:t>
      </w:r>
      <w:r>
        <w:rPr>
          <w:rFonts w:hint="default" w:ascii="Times New Roman" w:hAnsi="Times New Roman" w:eastAsia="方正仿宋_GBK" w:cs="Times New Roman"/>
          <w:b w:val="0"/>
          <w:bCs w:val="0"/>
          <w:sz w:val="32"/>
          <w:szCs w:val="32"/>
        </w:rPr>
        <w:t>等重点场所和医疗卫生机构要劝导和动员符合条件的人员开展预防性治疗。到2030年，全</w:t>
      </w:r>
      <w:r>
        <w:rPr>
          <w:rFonts w:hint="default" w:ascii="Times New Roman" w:hAnsi="Times New Roman" w:eastAsia="方正仿宋_GBK" w:cs="Times New Roman"/>
          <w:b w:val="0"/>
          <w:bCs w:val="0"/>
          <w:sz w:val="32"/>
          <w:szCs w:val="32"/>
          <w:lang w:eastAsia="zh-CN"/>
        </w:rPr>
        <w:t>县</w:t>
      </w:r>
      <w:r>
        <w:rPr>
          <w:rFonts w:hint="default" w:ascii="Times New Roman" w:hAnsi="Times New Roman" w:eastAsia="方正仿宋_GBK" w:cs="Times New Roman"/>
          <w:b w:val="0"/>
          <w:bCs w:val="0"/>
          <w:sz w:val="32"/>
          <w:szCs w:val="32"/>
        </w:rPr>
        <w:t>预防性治疗接受率达到80%以上。（</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教委、</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公安局、</w:t>
      </w:r>
      <w:r>
        <w:rPr>
          <w:rFonts w:hint="eastAsia" w:ascii="方正楷体_GBK" w:hAnsi="方正楷体_GBK" w:eastAsia="方正楷体_GBK" w:cs="方正楷体_GBK"/>
          <w:b w:val="0"/>
          <w:bCs w:val="0"/>
          <w:sz w:val="32"/>
          <w:szCs w:val="32"/>
          <w:lang w:eastAsia="zh-CN"/>
        </w:rPr>
        <w:t>县民政局、</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default" w:ascii="Times New Roman" w:hAnsi="Times New Roman" w:eastAsia="方正仿宋_GBK" w:cs="Times New Roman"/>
          <w:b w:val="0"/>
          <w:bCs w:val="0"/>
          <w:sz w:val="32"/>
          <w:szCs w:val="32"/>
        </w:rPr>
        <w:t>）</w:t>
      </w:r>
    </w:p>
    <w:p w14:paraId="227050BF">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3</w:t>
      </w:r>
      <w:r>
        <w:rPr>
          <w:rFonts w:hint="eastAsia" w:ascii="Times New Roman" w:hAnsi="Times New Roman" w:eastAsia="方正仿宋_GBK" w:cs="Times New Roman"/>
          <w:b w:val="0"/>
          <w:bCs w:val="0"/>
          <w:sz w:val="32"/>
          <w:szCs w:val="32"/>
          <w:lang w:val="en-US" w:eastAsia="zh-CN"/>
        </w:rPr>
        <w:t>.</w:t>
      </w:r>
      <w:r>
        <w:rPr>
          <w:rFonts w:hint="eastAsia"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强化感染控制。全县各级各类医疗机构每年至少开展1次全院结核病感染控制培训，</w:t>
      </w:r>
      <w:r>
        <w:rPr>
          <w:rFonts w:hint="default" w:ascii="Times New Roman" w:hAnsi="Times New Roman" w:eastAsia="方正仿宋_GBK" w:cs="Times New Roman"/>
          <w:b w:val="0"/>
          <w:bCs w:val="0"/>
          <w:sz w:val="32"/>
          <w:szCs w:val="32"/>
          <w:lang w:val="en-US" w:eastAsia="zh-CN"/>
        </w:rPr>
        <w:t>县</w:t>
      </w:r>
      <w:r>
        <w:rPr>
          <w:rFonts w:hint="default" w:ascii="Times New Roman" w:hAnsi="Times New Roman" w:eastAsia="方正仿宋_GBK" w:cs="Times New Roman"/>
          <w:b w:val="0"/>
          <w:bCs w:val="0"/>
          <w:sz w:val="32"/>
          <w:szCs w:val="32"/>
        </w:rPr>
        <w:t>疾控</w:t>
      </w:r>
      <w:r>
        <w:rPr>
          <w:rFonts w:hint="default" w:ascii="Times New Roman" w:hAnsi="Times New Roman" w:eastAsia="方正仿宋_GBK" w:cs="Times New Roman"/>
          <w:b w:val="0"/>
          <w:bCs w:val="0"/>
          <w:sz w:val="32"/>
          <w:szCs w:val="32"/>
          <w:lang w:val="en-US" w:eastAsia="zh-CN"/>
        </w:rPr>
        <w:t>中心</w:t>
      </w:r>
      <w:r>
        <w:rPr>
          <w:rFonts w:hint="default" w:ascii="Times New Roman" w:hAnsi="Times New Roman" w:eastAsia="方正仿宋_GBK" w:cs="Times New Roman"/>
          <w:b w:val="0"/>
          <w:bCs w:val="0"/>
          <w:sz w:val="32"/>
          <w:szCs w:val="32"/>
        </w:rPr>
        <w:t>要做好传染性结核病患者停工停课和复工复课的指导工作，基层医疗卫生机构要指导结核病患者做好家庭内感染控制工作。</w:t>
      </w:r>
      <w:r>
        <w:rPr>
          <w:rFonts w:hint="eastAsia" w:ascii="方正仿宋_GBK" w:hAnsi="方正仿宋_GBK" w:eastAsia="方正仿宋_GBK" w:cs="方正仿宋_GBK"/>
          <w:b w:val="0"/>
          <w:bCs w:val="0"/>
          <w:sz w:val="32"/>
          <w:szCs w:val="32"/>
        </w:rPr>
        <w:t>〔</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val="en-US" w:eastAsia="zh-CN"/>
        </w:rPr>
        <w:t>县</w:t>
      </w:r>
      <w:r>
        <w:rPr>
          <w:rFonts w:hint="default" w:ascii="方正楷体_GBK" w:hAnsi="方正楷体_GBK" w:eastAsia="方正楷体_GBK" w:cs="方正楷体_GBK"/>
          <w:b w:val="0"/>
          <w:bCs w:val="0"/>
          <w:sz w:val="32"/>
          <w:szCs w:val="32"/>
        </w:rPr>
        <w:t>卫生健康委</w:t>
      </w:r>
      <w:r>
        <w:rPr>
          <w:rFonts w:hint="eastAsia" w:ascii="方正楷体_GBK" w:hAnsi="方正楷体_GBK" w:eastAsia="方正楷体_GBK" w:cs="方正楷体_GBK"/>
          <w:b w:val="0"/>
          <w:bCs w:val="0"/>
          <w:sz w:val="32"/>
          <w:szCs w:val="32"/>
          <w:lang w:eastAsia="zh-CN"/>
        </w:rPr>
        <w:t>、各乡镇</w:t>
      </w:r>
      <w:r>
        <w:rPr>
          <w:rFonts w:hint="default"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eastAsia="zh-CN"/>
        </w:rPr>
        <w:t>街道</w:t>
      </w:r>
      <w:r>
        <w:rPr>
          <w:rFonts w:hint="default" w:ascii="方正楷体_GBK" w:hAnsi="方正楷体_GBK" w:eastAsia="方正楷体_GBK" w:cs="方正楷体_GBK"/>
          <w:b w:val="0"/>
          <w:bCs w:val="0"/>
          <w:sz w:val="32"/>
          <w:szCs w:val="32"/>
          <w:lang w:eastAsia="zh-CN"/>
        </w:rPr>
        <w:t>）</w:t>
      </w:r>
      <w:r>
        <w:rPr>
          <w:rFonts w:hint="eastAsia" w:ascii="方正仿宋_GBK" w:hAnsi="方正仿宋_GBK" w:eastAsia="方正仿宋_GBK" w:cs="方正仿宋_GBK"/>
          <w:b w:val="0"/>
          <w:bCs w:val="0"/>
          <w:sz w:val="32"/>
          <w:szCs w:val="32"/>
        </w:rPr>
        <w:t>〕</w:t>
      </w:r>
    </w:p>
    <w:p w14:paraId="64431A15">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（六）宣传普及行动</w:t>
      </w:r>
    </w:p>
    <w:p w14:paraId="776C8E76">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w:t>
      </w:r>
      <w:r>
        <w:rPr>
          <w:rFonts w:hint="eastAsia" w:ascii="Times New Roman" w:hAnsi="Times New Roman" w:eastAsia="方正仿宋_GBK" w:cs="Times New Roman"/>
          <w:b w:val="0"/>
          <w:bCs w:val="0"/>
          <w:sz w:val="32"/>
          <w:szCs w:val="32"/>
          <w:lang w:val="en-US" w:eastAsia="zh-CN"/>
        </w:rPr>
        <w:t>.</w:t>
      </w:r>
      <w:r>
        <w:rPr>
          <w:rFonts w:hint="eastAsia"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提高大众健康意识。将结核病防治知识纳入年度公益宣传计划。学校以班级为单位，每学期至少开展1次结核病健康教育。到2027年，全</w:t>
      </w:r>
      <w:r>
        <w:rPr>
          <w:rFonts w:hint="default" w:ascii="Times New Roman" w:hAnsi="Times New Roman" w:eastAsia="方正仿宋_GBK" w:cs="Times New Roman"/>
          <w:b w:val="0"/>
          <w:bCs w:val="0"/>
          <w:sz w:val="32"/>
          <w:szCs w:val="32"/>
          <w:lang w:eastAsia="zh-CN"/>
        </w:rPr>
        <w:t>县</w:t>
      </w:r>
      <w:r>
        <w:rPr>
          <w:rFonts w:hint="default" w:ascii="Times New Roman" w:hAnsi="Times New Roman" w:eastAsia="方正仿宋_GBK" w:cs="Times New Roman"/>
          <w:b w:val="0"/>
          <w:bCs w:val="0"/>
          <w:sz w:val="32"/>
          <w:szCs w:val="32"/>
        </w:rPr>
        <w:t>公众结核病防治核心知识知晓率达到85%以上。</w:t>
      </w:r>
      <w:r>
        <w:rPr>
          <w:rFonts w:hint="eastAsia" w:ascii="方正仿宋_GBK" w:hAnsi="方正仿宋_GBK" w:eastAsia="方正仿宋_GBK" w:cs="方正仿宋_GBK"/>
          <w:b w:val="0"/>
          <w:bCs w:val="0"/>
          <w:sz w:val="32"/>
          <w:szCs w:val="32"/>
          <w:lang w:eastAsia="zh-CN"/>
        </w:rPr>
        <w:t>〔</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委宣传部、</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教委、</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eastAsia" w:ascii="方正楷体_GBK" w:hAnsi="方正楷体_GBK" w:eastAsia="方正楷体_GBK" w:cs="方正楷体_GBK"/>
          <w:b w:val="0"/>
          <w:bCs w:val="0"/>
          <w:sz w:val="32"/>
          <w:szCs w:val="32"/>
          <w:lang w:eastAsia="zh-CN"/>
        </w:rPr>
        <w:t>、各乡镇</w:t>
      </w:r>
      <w:r>
        <w:rPr>
          <w:rFonts w:hint="default"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eastAsia="zh-CN"/>
        </w:rPr>
        <w:t>街道</w:t>
      </w:r>
      <w:r>
        <w:rPr>
          <w:rFonts w:hint="default" w:ascii="方正楷体_GBK" w:hAnsi="方正楷体_GBK" w:eastAsia="方正楷体_GBK" w:cs="方正楷体_GBK"/>
          <w:b w:val="0"/>
          <w:bCs w:val="0"/>
          <w:sz w:val="32"/>
          <w:szCs w:val="32"/>
          <w:lang w:eastAsia="zh-CN"/>
        </w:rPr>
        <w:t>）</w:t>
      </w:r>
      <w:r>
        <w:rPr>
          <w:rFonts w:hint="eastAsia" w:ascii="方正仿宋_GBK" w:hAnsi="方正仿宋_GBK" w:eastAsia="方正仿宋_GBK" w:cs="方正仿宋_GBK"/>
          <w:b w:val="0"/>
          <w:bCs w:val="0"/>
          <w:sz w:val="32"/>
          <w:szCs w:val="32"/>
          <w:lang w:eastAsia="zh-CN"/>
        </w:rPr>
        <w:t>〕</w:t>
      </w:r>
    </w:p>
    <w:p w14:paraId="6E6851FD">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w:t>
      </w:r>
      <w:r>
        <w:rPr>
          <w:rFonts w:hint="eastAsia" w:ascii="Times New Roman" w:hAnsi="Times New Roman" w:eastAsia="方正仿宋_GBK" w:cs="Times New Roman"/>
          <w:b w:val="0"/>
          <w:bCs w:val="0"/>
          <w:sz w:val="32"/>
          <w:szCs w:val="32"/>
          <w:lang w:val="en-US" w:eastAsia="zh-CN"/>
        </w:rPr>
        <w:t>.</w:t>
      </w:r>
      <w:r>
        <w:rPr>
          <w:rFonts w:hint="eastAsia"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开展志愿者宣传行动。建立</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color w:val="000000"/>
          <w:sz w:val="32"/>
          <w:szCs w:val="32"/>
        </w:rPr>
        <w:t>1+29+N</w:t>
      </w:r>
      <w:r>
        <w:rPr>
          <w:rFonts w:hint="eastAsia" w:eastAsia="方正仿宋_GBK" w:cs="Times New Roman"/>
          <w:b w:val="0"/>
          <w:bCs w:val="0"/>
          <w:color w:val="000000"/>
          <w:sz w:val="32"/>
          <w:szCs w:val="32"/>
          <w:lang w:eastAsia="zh-CN"/>
        </w:rPr>
        <w:t>”</w:t>
      </w:r>
      <w:r>
        <w:rPr>
          <w:rFonts w:hint="default" w:ascii="Times New Roman" w:hAnsi="Times New Roman" w:eastAsia="方正仿宋_GBK" w:cs="Times New Roman"/>
          <w:b w:val="0"/>
          <w:bCs w:val="0"/>
          <w:color w:val="000000"/>
          <w:sz w:val="32"/>
          <w:szCs w:val="32"/>
        </w:rPr>
        <w:t>的结核病防治知识志愿者宣传模式，成立县、乡镇（街道）、学校结核病防治知识志愿者宣传队伍，实施</w:t>
      </w:r>
      <w:r>
        <w:rPr>
          <w:rFonts w:hint="eastAsia" w:eastAsia="方正仿宋_GBK" w:cs="Times New Roman"/>
          <w:b w:val="0"/>
          <w:bCs w:val="0"/>
          <w:color w:val="000000"/>
          <w:sz w:val="32"/>
          <w:szCs w:val="32"/>
          <w:lang w:eastAsia="zh-CN"/>
        </w:rPr>
        <w:t>“</w:t>
      </w:r>
      <w:r>
        <w:rPr>
          <w:rFonts w:hint="default" w:ascii="Times New Roman" w:hAnsi="Times New Roman" w:eastAsia="方正仿宋_GBK" w:cs="Times New Roman"/>
          <w:b w:val="0"/>
          <w:bCs w:val="0"/>
          <w:color w:val="000000"/>
          <w:sz w:val="32"/>
          <w:szCs w:val="32"/>
        </w:rPr>
        <w:t>百千万志愿者结</w:t>
      </w:r>
      <w:r>
        <w:rPr>
          <w:rFonts w:hint="default" w:ascii="Times New Roman" w:hAnsi="Times New Roman" w:eastAsia="方正仿宋_GBK" w:cs="Times New Roman"/>
          <w:b w:val="0"/>
          <w:bCs w:val="0"/>
          <w:sz w:val="32"/>
          <w:szCs w:val="32"/>
        </w:rPr>
        <w:t>核病防治知识传播活动提升行动</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，各结核病健康知识宣传志愿服务队每年至少开展2次结核病健康知识宣传</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进社区、进企业、进医院、进校园、进家庭</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的</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五进</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活动。（</w:t>
      </w:r>
      <w:r>
        <w:rPr>
          <w:rFonts w:hint="default" w:ascii="方正楷体_GBK" w:hAnsi="方正楷体_GBK" w:eastAsia="方正楷体_GBK" w:cs="方正楷体_GBK"/>
          <w:b w:val="0"/>
          <w:bCs w:val="0"/>
          <w:sz w:val="32"/>
          <w:szCs w:val="32"/>
        </w:rPr>
        <w:t>责任单位：县委社会工作部、</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教委、团</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委、</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红十字会、</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default" w:ascii="Times New Roman" w:hAnsi="Times New Roman" w:eastAsia="方正仿宋_GBK" w:cs="Times New Roman"/>
          <w:b w:val="0"/>
          <w:bCs w:val="0"/>
          <w:sz w:val="32"/>
          <w:szCs w:val="32"/>
        </w:rPr>
        <w:t>）</w:t>
      </w:r>
    </w:p>
    <w:p w14:paraId="5AC7288A">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（七）能力提升行动</w:t>
      </w:r>
    </w:p>
    <w:p w14:paraId="0224EF59">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方正楷体_GBK" w:hAnsi="方正楷体_GBK" w:eastAsia="方正楷体_GBK" w:cs="方正楷体_GBK"/>
          <w:b w:val="0"/>
          <w:bCs w:val="0"/>
          <w:sz w:val="32"/>
          <w:szCs w:val="32"/>
        </w:rPr>
      </w:pPr>
      <w:r>
        <w:rPr>
          <w:rFonts w:hint="default" w:ascii="Times New Roman" w:hAnsi="Times New Roman" w:eastAsia="方正仿宋_GBK" w:cs="Times New Roman"/>
          <w:b w:val="0"/>
          <w:bCs w:val="0"/>
          <w:sz w:val="32"/>
          <w:szCs w:val="32"/>
        </w:rPr>
        <w:t>1. 提升检测能力。根据市级建设标准，建立县级结核病实验室质量控制中心，开展结核病实验室质量控制和星级评定。（</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p>
    <w:p w14:paraId="26AA618A">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val="0"/>
          <w:bCs w:val="0"/>
          <w:sz w:val="32"/>
          <w:szCs w:val="32"/>
        </w:rPr>
        <w:t>2.</w:t>
      </w:r>
      <w:r>
        <w:rPr>
          <w:rFonts w:hint="eastAsia"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强化队伍建设。每年选派业务骨干参加进修学习，加强结核病防治人才业务骨干的培养，加强基层结防人员配置和待遇保障，县人民医院结核病防治专职人员待遇不低于全院平均水平。</w:t>
      </w:r>
      <w:r>
        <w:rPr>
          <w:rFonts w:hint="eastAsia" w:ascii="Times New Roman" w:hAnsi="Times New Roman" w:eastAsia="方正仿宋_GBK" w:cs="Times New Roman"/>
          <w:b w:val="0"/>
          <w:bCs w:val="0"/>
          <w:sz w:val="32"/>
          <w:szCs w:val="32"/>
          <w:lang w:eastAsia="zh-CN"/>
        </w:rPr>
        <w:t>（</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eastAsia" w:ascii="Times New Roman" w:hAnsi="Times New Roman" w:eastAsia="方正仿宋_GBK" w:cs="Times New Roman"/>
          <w:b w:val="0"/>
          <w:bCs w:val="0"/>
          <w:sz w:val="32"/>
          <w:szCs w:val="32"/>
          <w:lang w:eastAsia="zh-CN"/>
        </w:rPr>
        <w:t>）</w:t>
      </w:r>
    </w:p>
    <w:p w14:paraId="2CDCBBB8">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eastAsia" w:eastAsia="方正仿宋_GBK" w:cs="Times New Roman"/>
          <w:b w:val="0"/>
          <w:bCs w:val="0"/>
          <w:sz w:val="32"/>
          <w:szCs w:val="32"/>
          <w:lang w:val="en-US" w:eastAsia="zh-CN"/>
        </w:rPr>
        <w:t>3</w:t>
      </w:r>
      <w:r>
        <w:rPr>
          <w:rFonts w:hint="eastAsia" w:ascii="Times New Roman" w:hAnsi="Times New Roman" w:eastAsia="方正仿宋_GBK" w:cs="Times New Roman"/>
          <w:b w:val="0"/>
          <w:bCs w:val="0"/>
          <w:sz w:val="32"/>
          <w:szCs w:val="32"/>
          <w:lang w:val="en-US" w:eastAsia="zh-CN"/>
        </w:rPr>
        <w:t>.</w:t>
      </w:r>
      <w:r>
        <w:rPr>
          <w:rFonts w:hint="eastAsia"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推进智能化服务。</w:t>
      </w:r>
      <w:r>
        <w:rPr>
          <w:rFonts w:hint="default" w:ascii="Times New Roman" w:hAnsi="Times New Roman" w:eastAsia="方正仿宋_GBK" w:cs="Times New Roman"/>
          <w:b w:val="0"/>
          <w:bCs w:val="0"/>
          <w:sz w:val="32"/>
          <w:szCs w:val="32"/>
          <w:lang w:val="en-US" w:eastAsia="zh-CN"/>
        </w:rPr>
        <w:t>依托市级</w:t>
      </w:r>
      <w:r>
        <w:rPr>
          <w:rFonts w:hint="eastAsia"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疫智防控</w:t>
      </w:r>
      <w:r>
        <w:rPr>
          <w:rFonts w:hint="eastAsia"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平台</w:t>
      </w:r>
      <w:r>
        <w:rPr>
          <w:rFonts w:hint="default" w:ascii="Times New Roman" w:hAnsi="Times New Roman" w:eastAsia="方正仿宋_GBK" w:cs="Times New Roman"/>
          <w:b w:val="0"/>
          <w:bCs w:val="0"/>
          <w:sz w:val="32"/>
          <w:szCs w:val="32"/>
        </w:rPr>
        <w:t>建立涵盖结核病全流程管理的数字化应用，推动结核病患者全程在线智能化服务。利用远程会诊平台，推广</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乡镇（街道）拍、区县阅</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模式，探索使用人工智能数字化胸片诊断系统，提高结核病筛查质量和效率；鼓励配备便携式、移动式结核病筛查设施设备及</w:t>
      </w:r>
      <w:r>
        <w:rPr>
          <w:rFonts w:hint="default" w:ascii="Times New Roman" w:hAnsi="Times New Roman" w:eastAsia="方正仿宋_GBK" w:cs="Times New Roman"/>
          <w:b w:val="0"/>
          <w:bCs w:val="0"/>
          <w:color w:val="000000"/>
          <w:sz w:val="32"/>
          <w:szCs w:val="32"/>
        </w:rPr>
        <w:t>移动体检</w:t>
      </w:r>
      <w:r>
        <w:rPr>
          <w:rFonts w:hint="default" w:ascii="Times New Roman" w:hAnsi="Times New Roman" w:eastAsia="方正仿宋_GBK" w:cs="Times New Roman"/>
          <w:b w:val="0"/>
          <w:bCs w:val="0"/>
          <w:sz w:val="32"/>
          <w:szCs w:val="32"/>
        </w:rPr>
        <w:t>车等，扩大筛查可及性。（</w:t>
      </w:r>
      <w:r>
        <w:rPr>
          <w:rFonts w:hint="eastAsia" w:ascii="方正楷体_GBK" w:hAnsi="方正楷体_GBK" w:eastAsia="方正楷体_GBK" w:cs="方正楷体_GBK"/>
          <w:b w:val="0"/>
          <w:bCs w:val="0"/>
          <w:sz w:val="32"/>
          <w:szCs w:val="32"/>
        </w:rPr>
        <w:t>责任单位：</w:t>
      </w:r>
      <w:r>
        <w:rPr>
          <w:rFonts w:hint="eastAsia" w:ascii="方正楷体_GBK" w:hAnsi="方正楷体_GBK" w:eastAsia="方正楷体_GBK" w:cs="方正楷体_GBK"/>
          <w:b w:val="0"/>
          <w:bCs w:val="0"/>
          <w:sz w:val="32"/>
          <w:szCs w:val="32"/>
          <w:lang w:eastAsia="zh-CN"/>
        </w:rPr>
        <w:t>县</w:t>
      </w:r>
      <w:r>
        <w:rPr>
          <w:rFonts w:hint="eastAsia" w:ascii="方正楷体_GBK" w:hAnsi="方正楷体_GBK" w:eastAsia="方正楷体_GBK" w:cs="方正楷体_GBK"/>
          <w:b w:val="0"/>
          <w:bCs w:val="0"/>
          <w:sz w:val="32"/>
          <w:szCs w:val="32"/>
        </w:rPr>
        <w:t>卫生健康委、</w:t>
      </w:r>
      <w:r>
        <w:rPr>
          <w:rFonts w:hint="eastAsia" w:ascii="方正楷体_GBK" w:hAnsi="方正楷体_GBK" w:eastAsia="方正楷体_GBK" w:cs="方正楷体_GBK"/>
          <w:b w:val="0"/>
          <w:bCs w:val="0"/>
          <w:sz w:val="32"/>
          <w:szCs w:val="32"/>
          <w:lang w:eastAsia="zh-CN"/>
        </w:rPr>
        <w:t>县发展改革委</w:t>
      </w:r>
      <w:r>
        <w:rPr>
          <w:rFonts w:hint="default" w:ascii="Times New Roman" w:hAnsi="Times New Roman" w:eastAsia="方正仿宋_GBK" w:cs="Times New Roman"/>
          <w:b w:val="0"/>
          <w:bCs w:val="0"/>
          <w:sz w:val="32"/>
          <w:szCs w:val="32"/>
        </w:rPr>
        <w:t>）</w:t>
      </w:r>
    </w:p>
    <w:p w14:paraId="335D2566">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4.</w:t>
      </w:r>
      <w:r>
        <w:rPr>
          <w:rFonts w:hint="eastAsia"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rPr>
        <w:t>推动科研创新。加强结核病预防和治疗专科（学科）建设，鼓励县疾控中心、各医疗</w:t>
      </w:r>
      <w:r>
        <w:rPr>
          <w:rFonts w:hint="eastAsia" w:eastAsia="方正仿宋_GBK" w:cs="Times New Roman"/>
          <w:b w:val="0"/>
          <w:bCs w:val="0"/>
          <w:sz w:val="32"/>
          <w:szCs w:val="32"/>
          <w:lang w:eastAsia="zh-CN"/>
        </w:rPr>
        <w:t>卫生</w:t>
      </w:r>
      <w:r>
        <w:rPr>
          <w:rFonts w:hint="default" w:ascii="Times New Roman" w:hAnsi="Times New Roman" w:eastAsia="方正仿宋_GBK" w:cs="Times New Roman"/>
          <w:b w:val="0"/>
          <w:bCs w:val="0"/>
          <w:sz w:val="32"/>
          <w:szCs w:val="32"/>
        </w:rPr>
        <w:t>机构联合申报结核病防治科研项目，推动科研成果转化。到2030年，力争建设结核病防治重点专科（学科）1个。</w:t>
      </w:r>
      <w:r>
        <w:rPr>
          <w:rFonts w:hint="eastAsia" w:ascii="Times New Roman" w:hAnsi="Times New Roman" w:eastAsia="方正仿宋_GBK" w:cs="Times New Roman"/>
          <w:b w:val="0"/>
          <w:bCs w:val="0"/>
          <w:sz w:val="32"/>
          <w:szCs w:val="32"/>
          <w:lang w:eastAsia="zh-CN"/>
        </w:rPr>
        <w:t>（</w:t>
      </w:r>
      <w:r>
        <w:rPr>
          <w:rFonts w:hint="default" w:ascii="方正楷体_GBK" w:hAnsi="方正楷体_GBK" w:eastAsia="方正楷体_GBK" w:cs="方正楷体_GBK"/>
          <w:b w:val="0"/>
          <w:bCs w:val="0"/>
          <w:sz w:val="32"/>
          <w:szCs w:val="32"/>
        </w:rPr>
        <w:t>责任单位：</w:t>
      </w:r>
      <w:r>
        <w:rPr>
          <w:rFonts w:hint="default" w:ascii="方正楷体_GBK" w:hAnsi="方正楷体_GBK" w:eastAsia="方正楷体_GBK" w:cs="方正楷体_GBK"/>
          <w:b w:val="0"/>
          <w:bCs w:val="0"/>
          <w:sz w:val="32"/>
          <w:szCs w:val="32"/>
          <w:lang w:eastAsia="zh-CN"/>
        </w:rPr>
        <w:t>县</w:t>
      </w:r>
      <w:r>
        <w:rPr>
          <w:rFonts w:hint="default" w:ascii="方正楷体_GBK" w:hAnsi="方正楷体_GBK" w:eastAsia="方正楷体_GBK" w:cs="方正楷体_GBK"/>
          <w:b w:val="0"/>
          <w:bCs w:val="0"/>
          <w:sz w:val="32"/>
          <w:szCs w:val="32"/>
        </w:rPr>
        <w:t>卫生健康委</w:t>
      </w:r>
      <w:r>
        <w:rPr>
          <w:rFonts w:hint="eastAsia" w:ascii="方正楷体_GBK" w:hAnsi="方正楷体_GBK" w:eastAsia="方正楷体_GBK" w:cs="方正楷体_GBK"/>
          <w:b w:val="0"/>
          <w:bCs w:val="0"/>
          <w:sz w:val="32"/>
          <w:szCs w:val="32"/>
          <w:lang w:eastAsia="zh-CN"/>
        </w:rPr>
        <w:t>、县科技局</w:t>
      </w:r>
      <w:r>
        <w:rPr>
          <w:rFonts w:hint="eastAsia" w:ascii="Times New Roman" w:hAnsi="Times New Roman" w:eastAsia="方正仿宋_GBK" w:cs="Times New Roman"/>
          <w:b w:val="0"/>
          <w:bCs w:val="0"/>
          <w:sz w:val="32"/>
          <w:szCs w:val="32"/>
          <w:lang w:eastAsia="zh-CN"/>
        </w:rPr>
        <w:t>）</w:t>
      </w:r>
    </w:p>
    <w:p w14:paraId="2222F7D9">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四、组织实施</w:t>
      </w:r>
    </w:p>
    <w:p w14:paraId="0B036BE8">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eastAsia" w:ascii="Times New Roman" w:hAnsi="Times New Roman" w:eastAsia="方正仿宋_GBK" w:cs="Times New Roman"/>
          <w:b w:val="0"/>
          <w:bCs w:val="0"/>
          <w:color w:val="000000"/>
          <w:sz w:val="32"/>
          <w:szCs w:val="32"/>
          <w:lang w:eastAsia="zh-CN"/>
        </w:rPr>
      </w:pPr>
      <w:r>
        <w:rPr>
          <w:rFonts w:hint="eastAsia" w:ascii="方正楷体_GBK" w:hAnsi="方正楷体_GBK" w:eastAsia="方正楷体_GBK" w:cs="方正楷体_GBK"/>
          <w:b w:val="0"/>
          <w:bCs w:val="0"/>
          <w:sz w:val="32"/>
          <w:szCs w:val="32"/>
        </w:rPr>
        <w:t>（一）落实主体责任</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val="en-US" w:eastAsia="zh-CN"/>
        </w:rPr>
        <w:t>各乡镇（街道）要将结核病防治工作纳入重要议事日程</w:t>
      </w:r>
      <w:r>
        <w:rPr>
          <w:rFonts w:hint="default" w:ascii="Times New Roman" w:hAnsi="Times New Roman" w:eastAsia="方正仿宋_GBK" w:cs="Times New Roman"/>
          <w:b w:val="0"/>
          <w:bCs w:val="0"/>
          <w:sz w:val="32"/>
          <w:szCs w:val="32"/>
        </w:rPr>
        <w:t>，按照本行动方案要求</w:t>
      </w:r>
      <w:r>
        <w:rPr>
          <w:rFonts w:hint="eastAsia" w:ascii="Times New Roman" w:hAnsi="Times New Roman" w:eastAsia="方正仿宋_GBK" w:cs="Times New Roman"/>
          <w:b w:val="0"/>
          <w:bCs w:val="0"/>
          <w:sz w:val="32"/>
          <w:szCs w:val="32"/>
          <w:lang w:eastAsia="zh-CN"/>
        </w:rPr>
        <w:t>开展防控工作</w:t>
      </w:r>
      <w:r>
        <w:rPr>
          <w:rFonts w:hint="default" w:ascii="Times New Roman" w:hAnsi="Times New Roman" w:eastAsia="方正仿宋_GBK" w:cs="Times New Roman"/>
          <w:b w:val="0"/>
          <w:bCs w:val="0"/>
          <w:sz w:val="32"/>
          <w:szCs w:val="32"/>
        </w:rPr>
        <w:t>，</w:t>
      </w:r>
      <w:r>
        <w:rPr>
          <w:rFonts w:hint="eastAsia" w:ascii="Times New Roman" w:hAnsi="Times New Roman" w:eastAsia="方正仿宋_GBK" w:cs="Times New Roman"/>
          <w:b w:val="0"/>
          <w:bCs w:val="0"/>
          <w:color w:val="000000"/>
          <w:sz w:val="32"/>
          <w:szCs w:val="32"/>
          <w:lang w:eastAsia="zh-CN"/>
        </w:rPr>
        <w:t>分工协作、各司其职，确保各项防控措施有效实施。</w:t>
      </w:r>
    </w:p>
    <w:p w14:paraId="0837A37E">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eastAsia" w:ascii="方正楷体_GBK" w:hAnsi="方正楷体_GBK" w:eastAsia="方正楷体_GBK" w:cs="方正楷体_GBK"/>
          <w:b w:val="0"/>
          <w:bCs w:val="0"/>
          <w:sz w:val="32"/>
          <w:szCs w:val="32"/>
        </w:rPr>
        <w:t>（二）加强经费保障。</w:t>
      </w:r>
      <w:r>
        <w:rPr>
          <w:rFonts w:hint="default" w:ascii="Times New Roman" w:hAnsi="Times New Roman" w:eastAsia="方正仿宋_GBK" w:cs="Times New Roman"/>
          <w:b w:val="0"/>
          <w:bCs w:val="0"/>
          <w:sz w:val="32"/>
          <w:szCs w:val="32"/>
        </w:rPr>
        <w:t>县财政局要将结核病防治工作经费纳入</w:t>
      </w:r>
      <w:r>
        <w:rPr>
          <w:rFonts w:hint="default" w:ascii="Times New Roman" w:hAnsi="Times New Roman" w:eastAsia="方正仿宋_GBK" w:cs="Times New Roman"/>
          <w:b w:val="0"/>
          <w:bCs w:val="0"/>
          <w:sz w:val="32"/>
          <w:szCs w:val="32"/>
          <w:lang w:val="en-US" w:eastAsia="zh-CN"/>
        </w:rPr>
        <w:t>县</w:t>
      </w:r>
      <w:r>
        <w:rPr>
          <w:rFonts w:hint="default" w:ascii="Times New Roman" w:hAnsi="Times New Roman" w:eastAsia="方正仿宋_GBK" w:cs="Times New Roman"/>
          <w:b w:val="0"/>
          <w:bCs w:val="0"/>
          <w:sz w:val="32"/>
          <w:szCs w:val="32"/>
        </w:rPr>
        <w:t>级财政年度预算，保障各项防控措施顺利实施。县卫生健康</w:t>
      </w:r>
      <w:r>
        <w:rPr>
          <w:rFonts w:hint="default" w:ascii="Times New Roman" w:hAnsi="Times New Roman" w:eastAsia="方正仿宋_GBK" w:cs="Times New Roman"/>
          <w:b w:val="0"/>
          <w:bCs w:val="0"/>
          <w:sz w:val="32"/>
          <w:szCs w:val="32"/>
          <w:lang w:val="en-US" w:eastAsia="zh-CN"/>
        </w:rPr>
        <w:t>委</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val="en-US" w:eastAsia="zh-CN"/>
        </w:rPr>
        <w:t>县</w:t>
      </w:r>
      <w:r>
        <w:rPr>
          <w:rFonts w:hint="default" w:ascii="Times New Roman" w:hAnsi="Times New Roman" w:eastAsia="方正仿宋_GBK" w:cs="Times New Roman"/>
          <w:b w:val="0"/>
          <w:bCs w:val="0"/>
          <w:sz w:val="32"/>
          <w:szCs w:val="32"/>
        </w:rPr>
        <w:t>疾控</w:t>
      </w:r>
      <w:r>
        <w:rPr>
          <w:rFonts w:hint="eastAsia" w:eastAsia="方正仿宋_GBK" w:cs="Times New Roman"/>
          <w:b w:val="0"/>
          <w:bCs w:val="0"/>
          <w:sz w:val="32"/>
          <w:szCs w:val="32"/>
          <w:lang w:val="en-US" w:eastAsia="zh-CN"/>
        </w:rPr>
        <w:t>中心</w:t>
      </w:r>
      <w:r>
        <w:rPr>
          <w:rFonts w:hint="default" w:ascii="Times New Roman" w:hAnsi="Times New Roman" w:eastAsia="方正仿宋_GBK" w:cs="Times New Roman"/>
          <w:b w:val="0"/>
          <w:bCs w:val="0"/>
          <w:sz w:val="32"/>
          <w:szCs w:val="32"/>
        </w:rPr>
        <w:t>会同县财政局、县医保局，统筹重大公共卫生项目、基本公共卫生服务项目开展结核病防治工作，做好基本医疗保障政策与公共卫生项目的统筹衔接，减轻结核病患者的经济负担。</w:t>
      </w:r>
    </w:p>
    <w:p w14:paraId="37E0DF3F">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r>
        <w:rPr>
          <w:rFonts w:hint="eastAsia" w:ascii="方正楷体_GBK" w:hAnsi="方正楷体_GBK" w:eastAsia="方正楷体_GBK" w:cs="方正楷体_GBK"/>
          <w:b w:val="0"/>
          <w:bCs w:val="0"/>
          <w:sz w:val="32"/>
          <w:szCs w:val="32"/>
        </w:rPr>
        <w:t>（三）监督与评估。</w:t>
      </w:r>
      <w:r>
        <w:rPr>
          <w:rFonts w:hint="default" w:ascii="Times New Roman" w:hAnsi="Times New Roman" w:eastAsia="方正仿宋_GBK" w:cs="Times New Roman"/>
          <w:b w:val="0"/>
          <w:bCs w:val="0"/>
          <w:sz w:val="32"/>
          <w:szCs w:val="32"/>
          <w:lang w:val="en-US" w:eastAsia="zh-CN"/>
        </w:rPr>
        <w:t>县</w:t>
      </w:r>
      <w:r>
        <w:rPr>
          <w:rFonts w:hint="default" w:ascii="Times New Roman" w:hAnsi="Times New Roman" w:eastAsia="方正仿宋_GBK" w:cs="Times New Roman"/>
          <w:b w:val="0"/>
          <w:bCs w:val="0"/>
          <w:sz w:val="32"/>
          <w:szCs w:val="32"/>
          <w:lang w:eastAsia="zh-CN"/>
        </w:rPr>
        <w:t>级有关部门</w:t>
      </w:r>
      <w:r>
        <w:rPr>
          <w:rFonts w:hint="default" w:ascii="Times New Roman" w:hAnsi="Times New Roman" w:eastAsia="方正仿宋_GBK" w:cs="Times New Roman"/>
          <w:b w:val="0"/>
          <w:bCs w:val="0"/>
          <w:sz w:val="32"/>
          <w:szCs w:val="32"/>
        </w:rPr>
        <w:t>要加强业务指导和监督管理，及时协调解决本行动方案实施过程中的有关问题和困难。</w:t>
      </w:r>
      <w:r>
        <w:rPr>
          <w:rFonts w:hint="default" w:ascii="Times New Roman" w:hAnsi="Times New Roman" w:eastAsia="方正仿宋_GBK" w:cs="Times New Roman"/>
          <w:b w:val="0"/>
          <w:bCs w:val="0"/>
          <w:color w:val="000000"/>
          <w:sz w:val="32"/>
          <w:szCs w:val="32"/>
        </w:rPr>
        <w:t>县</w:t>
      </w:r>
      <w:r>
        <w:rPr>
          <w:rFonts w:hint="eastAsia" w:ascii="Times New Roman" w:hAnsi="Times New Roman" w:eastAsia="方正仿宋_GBK" w:cs="Times New Roman"/>
          <w:b w:val="0"/>
          <w:bCs w:val="0"/>
          <w:color w:val="000000"/>
          <w:sz w:val="32"/>
          <w:szCs w:val="32"/>
          <w:lang w:eastAsia="zh-CN"/>
        </w:rPr>
        <w:t>卫生健康委</w:t>
      </w:r>
      <w:r>
        <w:rPr>
          <w:rFonts w:hint="default" w:ascii="Times New Roman" w:hAnsi="Times New Roman" w:eastAsia="方正仿宋_GBK" w:cs="Times New Roman"/>
          <w:b w:val="0"/>
          <w:bCs w:val="0"/>
          <w:sz w:val="32"/>
          <w:szCs w:val="32"/>
        </w:rPr>
        <w:t>对本行动方案实施情况进行阶段性监督和评估，确保如期实现终结结核病流行目标。</w:t>
      </w:r>
    </w:p>
    <w:p w14:paraId="3BB712BB">
      <w:pPr>
        <w:keepNext w:val="0"/>
        <w:keepLines w:val="0"/>
        <w:pageBreakBefore w:val="0"/>
        <w:widowControl w:val="0"/>
        <w:kinsoku/>
        <w:wordWrap/>
        <w:overflowPunct/>
        <w:topLinePunct/>
        <w:autoSpaceDE w:val="0"/>
        <w:autoSpaceDN w:val="0"/>
        <w:bidi w:val="0"/>
        <w:adjustRightInd w:val="0"/>
        <w:snapToGrid w:val="0"/>
        <w:spacing w:line="594" w:lineRule="exact"/>
        <w:ind w:left="0" w:leftChars="0" w:firstLine="640" w:firstLineChars="200"/>
        <w:jc w:val="both"/>
        <w:textAlignment w:val="baseline"/>
        <w:rPr>
          <w:rFonts w:hint="default" w:ascii="Times New Roman" w:hAnsi="Times New Roman" w:eastAsia="方正仿宋_GBK" w:cs="Times New Roman"/>
          <w:b w:val="0"/>
          <w:bCs w:val="0"/>
          <w:sz w:val="32"/>
          <w:szCs w:val="32"/>
        </w:rPr>
      </w:pPr>
    </w:p>
    <w:p w14:paraId="6462D9DC">
      <w:pPr>
        <w:keepNext w:val="0"/>
        <w:keepLines w:val="0"/>
        <w:pageBreakBefore w:val="0"/>
        <w:widowControl w:val="0"/>
        <w:kinsoku/>
        <w:wordWrap/>
        <w:overflowPunct/>
        <w:autoSpaceDE w:val="0"/>
        <w:autoSpaceDN w:val="0"/>
        <w:bidi w:val="0"/>
        <w:adjustRightInd w:val="0"/>
        <w:snapToGrid w:val="0"/>
        <w:spacing w:line="594" w:lineRule="exact"/>
        <w:ind w:left="1450" w:leftChars="304" w:hanging="812" w:hangingChars="254"/>
        <w:jc w:val="both"/>
        <w:textAlignment w:val="baseline"/>
        <w:rPr>
          <w:rFonts w:hint="eastAsia" w:ascii="方正仿宋_GBK" w:hAnsi="方正仿宋_GBK" w:eastAsia="方正仿宋_GBK" w:cs="方正仿宋_GBK"/>
          <w:b w:val="0"/>
          <w:bCs w:val="0"/>
          <w:sz w:val="32"/>
          <w:szCs w:val="32"/>
        </w:rPr>
      </w:pPr>
      <w:r>
        <w:rPr>
          <w:rFonts w:hint="default" w:ascii="Times New Roman" w:hAnsi="Times New Roman" w:eastAsia="方正仿宋_GBK" w:cs="Times New Roman"/>
          <w:b w:val="0"/>
          <w:bCs w:val="0"/>
          <w:sz w:val="32"/>
          <w:szCs w:val="32"/>
        </w:rPr>
        <w:t>附件：1</w:t>
      </w:r>
      <w:r>
        <w:rPr>
          <w:rFonts w:hint="eastAsia" w:ascii="Times New Roman" w:hAnsi="Times New Roman" w:eastAsia="方正仿宋_GBK" w:cs="Times New Roman"/>
          <w:b w:val="0"/>
          <w:bCs w:val="0"/>
          <w:sz w:val="32"/>
          <w:szCs w:val="32"/>
          <w:lang w:val="en-US" w:eastAsia="zh-CN"/>
        </w:rPr>
        <w:t>.</w:t>
      </w:r>
      <w:r>
        <w:rPr>
          <w:rFonts w:hint="eastAsia" w:eastAsia="方正仿宋_GBK" w:cs="Times New Roman"/>
          <w:b w:val="0"/>
          <w:bCs w:val="0"/>
          <w:sz w:val="22"/>
          <w:szCs w:val="22"/>
          <w:lang w:val="en-US" w:eastAsia="zh-CN"/>
        </w:rPr>
        <w:t xml:space="preserve"> </w:t>
      </w:r>
      <w:r>
        <w:rPr>
          <w:rFonts w:hint="eastAsia" w:ascii="方正仿宋_GBK" w:hAnsi="方正仿宋_GBK" w:eastAsia="方正仿宋_GBK" w:cs="方正仿宋_GBK"/>
          <w:b w:val="0"/>
          <w:bCs w:val="0"/>
          <w:sz w:val="32"/>
          <w:szCs w:val="32"/>
          <w:lang w:val="en-US" w:eastAsia="zh-CN"/>
        </w:rPr>
        <w:t>忠县</w:t>
      </w:r>
      <w:r>
        <w:rPr>
          <w:rFonts w:hint="eastAsia" w:ascii="方正仿宋_GBK" w:hAnsi="方正仿宋_GBK" w:eastAsia="方正仿宋_GBK" w:cs="方正仿宋_GBK"/>
          <w:b w:val="0"/>
          <w:bCs w:val="0"/>
          <w:sz w:val="32"/>
          <w:szCs w:val="32"/>
        </w:rPr>
        <w:t>结核病防治行动方案（</w:t>
      </w:r>
      <w:r>
        <w:rPr>
          <w:rFonts w:hint="default" w:ascii="Times New Roman" w:hAnsi="Times New Roman" w:eastAsia="方正仿宋_GBK" w:cs="Times New Roman"/>
          <w:b w:val="0"/>
          <w:bCs w:val="0"/>
          <w:sz w:val="32"/>
          <w:szCs w:val="32"/>
        </w:rPr>
        <w:t>202</w:t>
      </w:r>
      <w:r>
        <w:rPr>
          <w:rFonts w:hint="eastAsia" w:ascii="Times New Roman" w:hAnsi="Times New Roman"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rPr>
        <w:t>—2035</w:t>
      </w:r>
      <w:r>
        <w:rPr>
          <w:rFonts w:hint="eastAsia" w:ascii="方正仿宋_GBK" w:hAnsi="方正仿宋_GBK" w:eastAsia="方正仿宋_GBK" w:cs="方正仿宋_GBK"/>
          <w:b w:val="0"/>
          <w:bCs w:val="0"/>
          <w:sz w:val="32"/>
          <w:szCs w:val="32"/>
        </w:rPr>
        <w:t>年）具体</w:t>
      </w:r>
    </w:p>
    <w:p w14:paraId="0C3EC7B8">
      <w:pPr>
        <w:keepNext w:val="0"/>
        <w:keepLines w:val="0"/>
        <w:pageBreakBefore w:val="0"/>
        <w:widowControl w:val="0"/>
        <w:kinsoku/>
        <w:wordWrap/>
        <w:overflowPunct/>
        <w:topLinePunct w:val="0"/>
        <w:autoSpaceDE w:val="0"/>
        <w:autoSpaceDN w:val="0"/>
        <w:bidi w:val="0"/>
        <w:adjustRightInd w:val="0"/>
        <w:snapToGrid w:val="0"/>
        <w:spacing w:line="594" w:lineRule="exact"/>
        <w:ind w:left="0" w:leftChars="0" w:firstLine="1980" w:firstLineChars="619"/>
        <w:jc w:val="both"/>
        <w:textAlignment w:val="baseline"/>
        <w:rPr>
          <w:rFonts w:hint="default" w:ascii="Times New Roman" w:hAnsi="Times New Roman" w:eastAsia="方正仿宋_GBK" w:cs="Times New Roman"/>
          <w:b w:val="0"/>
          <w:bCs w:val="0"/>
          <w:sz w:val="32"/>
          <w:szCs w:val="32"/>
        </w:rPr>
      </w:pPr>
      <w:r>
        <w:rPr>
          <w:rFonts w:hint="eastAsia" w:ascii="方正仿宋_GBK" w:hAnsi="方正仿宋_GBK" w:eastAsia="方正仿宋_GBK" w:cs="方正仿宋_GBK"/>
          <w:b w:val="0"/>
          <w:bCs w:val="0"/>
          <w:sz w:val="32"/>
          <w:szCs w:val="32"/>
        </w:rPr>
        <w:t>工作目标</w:t>
      </w:r>
    </w:p>
    <w:p w14:paraId="46905C93">
      <w:pPr>
        <w:keepNext w:val="0"/>
        <w:keepLines w:val="0"/>
        <w:pageBreakBefore w:val="0"/>
        <w:widowControl w:val="0"/>
        <w:numPr>
          <w:ilvl w:val="0"/>
          <w:numId w:val="0"/>
        </w:numPr>
        <w:tabs>
          <w:tab w:val="left" w:pos="1883"/>
        </w:tabs>
        <w:kinsoku/>
        <w:wordWrap/>
        <w:overflowPunct/>
        <w:topLinePunct/>
        <w:autoSpaceDE w:val="0"/>
        <w:autoSpaceDN w:val="0"/>
        <w:bidi w:val="0"/>
        <w:adjustRightInd w:val="0"/>
        <w:snapToGrid w:val="0"/>
        <w:spacing w:line="594" w:lineRule="exact"/>
        <w:ind w:left="0" w:leftChars="0" w:firstLine="1600" w:firstLineChars="500"/>
        <w:jc w:val="both"/>
        <w:textAlignment w:val="baseline"/>
        <w:rPr>
          <w:rFonts w:hint="eastAsia" w:ascii="方正仿宋_GBK" w:hAnsi="方正仿宋_GBK" w:eastAsia="方正仿宋_GBK" w:cs="方正仿宋_GBK"/>
          <w:b w:val="0"/>
          <w:bCs w:val="0"/>
          <w:sz w:val="32"/>
          <w:szCs w:val="32"/>
        </w:rPr>
      </w:pPr>
      <w:r>
        <w:rPr>
          <w:rFonts w:hint="default" w:ascii="Times New Roman" w:hAnsi="Times New Roman" w:eastAsia="方正仿宋_GBK" w:cs="Times New Roman"/>
          <w:b w:val="0"/>
          <w:bCs w:val="0"/>
          <w:kern w:val="2"/>
          <w:sz w:val="32"/>
          <w:szCs w:val="32"/>
          <w:lang w:val="en-US" w:eastAsia="zh-CN" w:bidi="ar-SA"/>
        </w:rPr>
        <w:t>2.</w:t>
      </w:r>
      <w:r>
        <w:rPr>
          <w:rFonts w:hint="eastAsia" w:eastAsia="方正仿宋_GBK" w:cs="Times New Roman"/>
          <w:b w:val="0"/>
          <w:bCs w:val="0"/>
          <w:kern w:val="2"/>
          <w:sz w:val="22"/>
          <w:szCs w:val="22"/>
          <w:lang w:val="en-US" w:eastAsia="zh-CN" w:bidi="ar-SA"/>
        </w:rPr>
        <w:t xml:space="preserve"> </w:t>
      </w:r>
      <w:r>
        <w:rPr>
          <w:rFonts w:hint="eastAsia" w:ascii="Times New Roman" w:hAnsi="Times New Roman" w:eastAsia="方正仿宋_GBK" w:cs="Times New Roman"/>
          <w:b w:val="0"/>
          <w:bCs w:val="0"/>
          <w:sz w:val="32"/>
          <w:szCs w:val="32"/>
          <w:lang w:eastAsia="zh-CN"/>
        </w:rPr>
        <w:t>重庆市</w:t>
      </w:r>
      <w:r>
        <w:rPr>
          <w:rFonts w:hint="eastAsia" w:ascii="方正仿宋_GBK" w:hAnsi="方正仿宋_GBK" w:eastAsia="方正仿宋_GBK" w:cs="方正仿宋_GBK"/>
          <w:b w:val="0"/>
          <w:bCs w:val="0"/>
          <w:sz w:val="32"/>
          <w:szCs w:val="32"/>
        </w:rPr>
        <w:t>结核病疫情地区分类标准和防治策略</w:t>
      </w:r>
    </w:p>
    <w:p w14:paraId="549C34C9">
      <w:pPr>
        <w:keepNext w:val="0"/>
        <w:keepLines w:val="0"/>
        <w:pageBreakBefore w:val="0"/>
        <w:widowControl w:val="0"/>
        <w:kinsoku/>
        <w:wordWrap/>
        <w:overflowPunct/>
        <w:topLinePunct/>
        <w:autoSpaceDE w:val="0"/>
        <w:autoSpaceDN w:val="0"/>
        <w:bidi w:val="0"/>
        <w:adjustRightInd w:val="0"/>
        <w:snapToGrid w:val="0"/>
        <w:spacing w:line="594" w:lineRule="exact"/>
        <w:jc w:val="left"/>
        <w:textAlignment w:val="baseline"/>
        <w:rPr>
          <w:rFonts w:hint="eastAsia" w:ascii="方正黑体_GBK" w:hAnsi="方正黑体_GBK" w:eastAsia="方正黑体_GBK" w:cs="方正黑体_GBK"/>
          <w:b w:val="0"/>
          <w:bCs w:val="0"/>
          <w:sz w:val="32"/>
          <w:szCs w:val="32"/>
        </w:rPr>
      </w:pPr>
    </w:p>
    <w:p w14:paraId="5D5C3F3F">
      <w:pPr>
        <w:keepNext w:val="0"/>
        <w:keepLines w:val="0"/>
        <w:pageBreakBefore w:val="0"/>
        <w:widowControl w:val="0"/>
        <w:kinsoku/>
        <w:wordWrap/>
        <w:overflowPunct/>
        <w:topLinePunct/>
        <w:autoSpaceDE w:val="0"/>
        <w:autoSpaceDN w:val="0"/>
        <w:bidi w:val="0"/>
        <w:adjustRightInd w:val="0"/>
        <w:snapToGrid w:val="0"/>
        <w:spacing w:line="594" w:lineRule="exact"/>
        <w:jc w:val="left"/>
        <w:textAlignment w:val="baseline"/>
        <w:rPr>
          <w:rFonts w:hint="default" w:ascii="Times New Roman" w:hAnsi="Times New Roman" w:eastAsia="方正黑体_GBK" w:cs="Times New Roman"/>
          <w:b w:val="0"/>
          <w:bCs w:val="0"/>
          <w:sz w:val="32"/>
          <w:szCs w:val="32"/>
        </w:rPr>
      </w:pPr>
      <w:r>
        <w:rPr>
          <w:rFonts w:hint="eastAsia" w:ascii="方正黑体_GBK" w:hAnsi="方正黑体_GBK" w:eastAsia="方正黑体_GBK" w:cs="方正黑体_GBK"/>
          <w:b w:val="0"/>
          <w:bCs w:val="0"/>
          <w:sz w:val="32"/>
          <w:szCs w:val="32"/>
        </w:rPr>
        <w:t>附件</w:t>
      </w:r>
      <w:r>
        <w:rPr>
          <w:rFonts w:hint="default" w:ascii="Times New Roman" w:hAnsi="Times New Roman" w:eastAsia="方正黑体_GBK" w:cs="Times New Roman"/>
          <w:b w:val="0"/>
          <w:bCs w:val="0"/>
          <w:sz w:val="32"/>
          <w:szCs w:val="32"/>
        </w:rPr>
        <w:t>1</w:t>
      </w:r>
    </w:p>
    <w:p w14:paraId="4755E5F2">
      <w:pPr>
        <w:keepNext w:val="0"/>
        <w:keepLines w:val="0"/>
        <w:pageBreakBefore w:val="0"/>
        <w:widowControl w:val="0"/>
        <w:kinsoku/>
        <w:wordWrap/>
        <w:overflowPunct/>
        <w:topLinePunct/>
        <w:autoSpaceDE w:val="0"/>
        <w:autoSpaceDN w:val="0"/>
        <w:bidi w:val="0"/>
        <w:adjustRightInd w:val="0"/>
        <w:snapToGrid w:val="0"/>
        <w:spacing w:line="594" w:lineRule="exact"/>
        <w:jc w:val="both"/>
        <w:textAlignment w:val="baseline"/>
        <w:rPr>
          <w:rFonts w:hint="eastAsia" w:ascii="Times New Roman" w:hAnsi="Times New Roman" w:eastAsia="方正黑体_GBK" w:cs="Times New Roman"/>
          <w:b w:val="0"/>
          <w:bCs w:val="0"/>
          <w:sz w:val="32"/>
          <w:szCs w:val="32"/>
        </w:rPr>
      </w:pPr>
    </w:p>
    <w:p w14:paraId="214DA8C8">
      <w:pPr>
        <w:keepNext w:val="0"/>
        <w:keepLines w:val="0"/>
        <w:pageBreakBefore w:val="0"/>
        <w:widowControl w:val="0"/>
        <w:kinsoku/>
        <w:wordWrap/>
        <w:overflowPunct/>
        <w:topLinePunct/>
        <w:autoSpaceDE w:val="0"/>
        <w:autoSpaceDN w:val="0"/>
        <w:bidi w:val="0"/>
        <w:adjustRightInd w:val="0"/>
        <w:snapToGrid w:val="0"/>
        <w:spacing w:line="594" w:lineRule="exact"/>
        <w:jc w:val="center"/>
        <w:textAlignment w:val="baseline"/>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lang w:val="en-US" w:eastAsia="zh-CN"/>
        </w:rPr>
        <w:t>忠县</w:t>
      </w:r>
      <w:r>
        <w:rPr>
          <w:rFonts w:hint="eastAsia" w:ascii="方正小标宋_GBK" w:hAnsi="方正小标宋_GBK" w:eastAsia="方正小标宋_GBK" w:cs="方正小标宋_GBK"/>
          <w:b w:val="0"/>
          <w:bCs w:val="0"/>
          <w:sz w:val="44"/>
          <w:szCs w:val="44"/>
        </w:rPr>
        <w:t>结核病防治行动方案</w:t>
      </w:r>
    </w:p>
    <w:p w14:paraId="5C044499">
      <w:pPr>
        <w:keepNext w:val="0"/>
        <w:keepLines w:val="0"/>
        <w:pageBreakBefore w:val="0"/>
        <w:widowControl w:val="0"/>
        <w:kinsoku/>
        <w:wordWrap/>
        <w:overflowPunct/>
        <w:topLinePunct/>
        <w:autoSpaceDE w:val="0"/>
        <w:autoSpaceDN w:val="0"/>
        <w:bidi w:val="0"/>
        <w:adjustRightInd w:val="0"/>
        <w:snapToGrid w:val="0"/>
        <w:spacing w:line="594" w:lineRule="exact"/>
        <w:jc w:val="center"/>
        <w:textAlignment w:val="baseline"/>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w:t>
      </w:r>
      <w:r>
        <w:rPr>
          <w:rFonts w:hint="default" w:ascii="Times New Roman" w:hAnsi="Times New Roman" w:eastAsia="方正小标宋_GBK" w:cs="Times New Roman"/>
          <w:b w:val="0"/>
          <w:bCs w:val="0"/>
          <w:sz w:val="44"/>
          <w:szCs w:val="44"/>
        </w:rPr>
        <w:t>202</w:t>
      </w:r>
      <w:r>
        <w:rPr>
          <w:rFonts w:hint="default" w:ascii="Times New Roman" w:hAnsi="Times New Roman" w:eastAsia="方正小标宋_GBK" w:cs="Times New Roman"/>
          <w:b w:val="0"/>
          <w:bCs w:val="0"/>
          <w:sz w:val="44"/>
          <w:szCs w:val="44"/>
          <w:lang w:val="en-US" w:eastAsia="zh-CN"/>
        </w:rPr>
        <w:t>5</w:t>
      </w:r>
      <w:r>
        <w:rPr>
          <w:rFonts w:hint="default" w:ascii="Times New Roman" w:hAnsi="Times New Roman" w:eastAsia="方正小标宋_GBK" w:cs="Times New Roman"/>
          <w:b w:val="0"/>
          <w:bCs w:val="0"/>
          <w:sz w:val="44"/>
          <w:szCs w:val="44"/>
        </w:rPr>
        <w:t>—2035</w:t>
      </w:r>
      <w:r>
        <w:rPr>
          <w:rFonts w:hint="eastAsia" w:ascii="方正小标宋_GBK" w:hAnsi="方正小标宋_GBK" w:eastAsia="方正小标宋_GBK" w:cs="方正小标宋_GBK"/>
          <w:b w:val="0"/>
          <w:bCs w:val="0"/>
          <w:sz w:val="44"/>
          <w:szCs w:val="44"/>
        </w:rPr>
        <w:t>年）具体工作目标</w:t>
      </w:r>
    </w:p>
    <w:p w14:paraId="4C08F848">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default" w:ascii="Times New Roman" w:hAnsi="Times New Roman" w:eastAsia="方正仿宋_GBK" w:cs="Times New Roman"/>
          <w:b w:val="0"/>
          <w:bCs w:val="0"/>
          <w:sz w:val="32"/>
          <w:szCs w:val="32"/>
        </w:rPr>
      </w:pPr>
    </w:p>
    <w:tbl>
      <w:tblPr>
        <w:tblStyle w:val="9"/>
        <w:tblW w:w="888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47"/>
        <w:gridCol w:w="757"/>
        <w:gridCol w:w="1884"/>
        <w:gridCol w:w="1019"/>
        <w:gridCol w:w="1019"/>
        <w:gridCol w:w="1019"/>
        <w:gridCol w:w="1019"/>
        <w:gridCol w:w="1019"/>
      </w:tblGrid>
      <w:tr w14:paraId="08C0FD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5" w:hRule="atLeast"/>
          <w:jc w:val="center"/>
        </w:trPr>
        <w:tc>
          <w:tcPr>
            <w:tcW w:w="1147" w:type="dxa"/>
            <w:tcBorders>
              <w:top w:val="single" w:color="000000" w:sz="4" w:space="0"/>
              <w:left w:val="single" w:color="000000" w:sz="4" w:space="0"/>
            </w:tcBorders>
            <w:noWrap w:val="0"/>
            <w:vAlign w:val="center"/>
          </w:tcPr>
          <w:p w14:paraId="15B06060">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黑体_GBK" w:cs="Times New Roman"/>
                <w:b w:val="0"/>
                <w:bCs w:val="0"/>
                <w:sz w:val="22"/>
                <w:szCs w:val="22"/>
              </w:rPr>
            </w:pPr>
            <w:r>
              <w:rPr>
                <w:rFonts w:hint="default" w:ascii="Times New Roman" w:hAnsi="Times New Roman" w:eastAsia="方正黑体_GBK" w:cs="Times New Roman"/>
                <w:b w:val="0"/>
                <w:bCs w:val="0"/>
                <w:sz w:val="22"/>
                <w:szCs w:val="22"/>
              </w:rPr>
              <w:t>指标分类</w:t>
            </w:r>
          </w:p>
        </w:tc>
        <w:tc>
          <w:tcPr>
            <w:tcW w:w="2641" w:type="dxa"/>
            <w:gridSpan w:val="2"/>
            <w:tcBorders>
              <w:top w:val="single" w:color="000000" w:sz="4" w:space="0"/>
            </w:tcBorders>
            <w:noWrap w:val="0"/>
            <w:vAlign w:val="center"/>
          </w:tcPr>
          <w:p w14:paraId="74BB757B">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黑体_GBK" w:cs="Times New Roman"/>
                <w:b w:val="0"/>
                <w:bCs w:val="0"/>
                <w:sz w:val="22"/>
                <w:szCs w:val="22"/>
              </w:rPr>
            </w:pPr>
            <w:r>
              <w:rPr>
                <w:rFonts w:hint="default" w:ascii="Times New Roman" w:hAnsi="Times New Roman" w:eastAsia="方正黑体_GBK" w:cs="Times New Roman"/>
                <w:b w:val="0"/>
                <w:bCs w:val="0"/>
                <w:sz w:val="22"/>
                <w:szCs w:val="22"/>
              </w:rPr>
              <w:t>指标名称</w:t>
            </w:r>
          </w:p>
        </w:tc>
        <w:tc>
          <w:tcPr>
            <w:tcW w:w="1019" w:type="dxa"/>
            <w:tcBorders>
              <w:top w:val="single" w:color="000000" w:sz="4" w:space="0"/>
            </w:tcBorders>
            <w:noWrap w:val="0"/>
            <w:vAlign w:val="center"/>
          </w:tcPr>
          <w:p w14:paraId="615AA19F">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黑体_GBK" w:cs="Times New Roman"/>
                <w:b w:val="0"/>
                <w:bCs w:val="0"/>
                <w:sz w:val="22"/>
                <w:szCs w:val="22"/>
              </w:rPr>
            </w:pPr>
            <w:r>
              <w:rPr>
                <w:rFonts w:hint="default" w:ascii="Times New Roman" w:hAnsi="Times New Roman" w:eastAsia="方正黑体_GBK" w:cs="Times New Roman"/>
                <w:b w:val="0"/>
                <w:bCs w:val="0"/>
                <w:sz w:val="22"/>
                <w:szCs w:val="22"/>
              </w:rPr>
              <w:t>2023年</w:t>
            </w:r>
          </w:p>
        </w:tc>
        <w:tc>
          <w:tcPr>
            <w:tcW w:w="1019" w:type="dxa"/>
            <w:tcBorders>
              <w:top w:val="single" w:color="000000" w:sz="4" w:space="0"/>
            </w:tcBorders>
            <w:noWrap w:val="0"/>
            <w:vAlign w:val="center"/>
          </w:tcPr>
          <w:p w14:paraId="0C61E782">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黑体_GBK" w:cs="Times New Roman"/>
                <w:b w:val="0"/>
                <w:bCs w:val="0"/>
                <w:sz w:val="22"/>
                <w:szCs w:val="22"/>
              </w:rPr>
            </w:pPr>
            <w:r>
              <w:rPr>
                <w:rFonts w:hint="default" w:ascii="Times New Roman" w:hAnsi="Times New Roman" w:eastAsia="方正黑体_GBK" w:cs="Times New Roman"/>
                <w:b w:val="0"/>
                <w:bCs w:val="0"/>
                <w:sz w:val="22"/>
                <w:szCs w:val="22"/>
              </w:rPr>
              <w:t>2025年</w:t>
            </w:r>
          </w:p>
        </w:tc>
        <w:tc>
          <w:tcPr>
            <w:tcW w:w="1019" w:type="dxa"/>
            <w:tcBorders>
              <w:top w:val="single" w:color="000000" w:sz="4" w:space="0"/>
            </w:tcBorders>
            <w:noWrap w:val="0"/>
            <w:vAlign w:val="center"/>
          </w:tcPr>
          <w:p w14:paraId="7E7111DE">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黑体_GBK" w:cs="Times New Roman"/>
                <w:b w:val="0"/>
                <w:bCs w:val="0"/>
                <w:sz w:val="22"/>
                <w:szCs w:val="22"/>
              </w:rPr>
            </w:pPr>
            <w:r>
              <w:rPr>
                <w:rFonts w:hint="default" w:ascii="Times New Roman" w:hAnsi="Times New Roman" w:eastAsia="方正黑体_GBK" w:cs="Times New Roman"/>
                <w:b w:val="0"/>
                <w:bCs w:val="0"/>
                <w:sz w:val="22"/>
                <w:szCs w:val="22"/>
              </w:rPr>
              <w:t>2027年</w:t>
            </w:r>
          </w:p>
        </w:tc>
        <w:tc>
          <w:tcPr>
            <w:tcW w:w="1019" w:type="dxa"/>
            <w:tcBorders>
              <w:top w:val="single" w:color="000000" w:sz="4" w:space="0"/>
            </w:tcBorders>
            <w:noWrap w:val="0"/>
            <w:vAlign w:val="center"/>
          </w:tcPr>
          <w:p w14:paraId="6B097622">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黑体_GBK" w:cs="Times New Roman"/>
                <w:b w:val="0"/>
                <w:bCs w:val="0"/>
                <w:sz w:val="22"/>
                <w:szCs w:val="22"/>
              </w:rPr>
            </w:pPr>
            <w:r>
              <w:rPr>
                <w:rFonts w:hint="default" w:ascii="Times New Roman" w:hAnsi="Times New Roman" w:eastAsia="方正黑体_GBK" w:cs="Times New Roman"/>
                <w:b w:val="0"/>
                <w:bCs w:val="0"/>
                <w:sz w:val="22"/>
                <w:szCs w:val="22"/>
              </w:rPr>
              <w:t>2030年</w:t>
            </w:r>
          </w:p>
        </w:tc>
        <w:tc>
          <w:tcPr>
            <w:tcW w:w="1019" w:type="dxa"/>
            <w:tcBorders>
              <w:top w:val="single" w:color="000000" w:sz="4" w:space="0"/>
              <w:right w:val="single" w:color="000000" w:sz="4" w:space="0"/>
            </w:tcBorders>
            <w:noWrap w:val="0"/>
            <w:vAlign w:val="center"/>
          </w:tcPr>
          <w:p w14:paraId="5CE3AA52">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黑体_GBK" w:cs="Times New Roman"/>
                <w:b w:val="0"/>
                <w:bCs w:val="0"/>
                <w:sz w:val="22"/>
                <w:szCs w:val="22"/>
              </w:rPr>
            </w:pPr>
            <w:r>
              <w:rPr>
                <w:rFonts w:hint="default" w:ascii="Times New Roman" w:hAnsi="Times New Roman" w:eastAsia="方正黑体_GBK" w:cs="Times New Roman"/>
                <w:b w:val="0"/>
                <w:bCs w:val="0"/>
                <w:sz w:val="22"/>
                <w:szCs w:val="22"/>
              </w:rPr>
              <w:t>2035年</w:t>
            </w:r>
          </w:p>
        </w:tc>
      </w:tr>
      <w:tr w14:paraId="45AEF2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1147" w:type="dxa"/>
            <w:tcBorders>
              <w:left w:val="single" w:color="000000" w:sz="4" w:space="0"/>
            </w:tcBorders>
            <w:noWrap w:val="0"/>
            <w:vAlign w:val="center"/>
          </w:tcPr>
          <w:p w14:paraId="677D955F">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总体目标</w:t>
            </w:r>
          </w:p>
        </w:tc>
        <w:tc>
          <w:tcPr>
            <w:tcW w:w="2641" w:type="dxa"/>
            <w:gridSpan w:val="2"/>
            <w:noWrap w:val="0"/>
            <w:vAlign w:val="center"/>
          </w:tcPr>
          <w:p w14:paraId="3F224773">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全</w:t>
            </w:r>
            <w:r>
              <w:rPr>
                <w:rFonts w:hint="default" w:ascii="Times New Roman" w:hAnsi="Times New Roman" w:eastAsia="方正仿宋_GBK" w:cs="Times New Roman"/>
                <w:b w:val="0"/>
                <w:bCs w:val="0"/>
                <w:sz w:val="22"/>
                <w:szCs w:val="22"/>
                <w:lang w:val="en-US" w:eastAsia="zh-CN"/>
              </w:rPr>
              <w:t>县</w:t>
            </w:r>
            <w:r>
              <w:rPr>
                <w:rFonts w:hint="default" w:ascii="Times New Roman" w:hAnsi="Times New Roman" w:eastAsia="方正仿宋_GBK" w:cs="Times New Roman"/>
                <w:b w:val="0"/>
                <w:bCs w:val="0"/>
                <w:sz w:val="22"/>
                <w:szCs w:val="22"/>
              </w:rPr>
              <w:t>结核病发病率</w:t>
            </w:r>
            <w:r>
              <w:rPr>
                <w:rFonts w:hint="eastAsia" w:ascii="Times New Roman" w:hAnsi="Times New Roman" w:eastAsia="方正仿宋_GBK" w:cs="Times New Roman"/>
                <w:b w:val="0"/>
                <w:bCs w:val="0"/>
                <w:sz w:val="22"/>
                <w:szCs w:val="22"/>
                <w:lang w:eastAsia="zh-CN"/>
              </w:rPr>
              <w:t>（</w:t>
            </w:r>
            <w:r>
              <w:rPr>
                <w:rFonts w:hint="eastAsia" w:eastAsia="方正仿宋_GBK" w:cs="Times New Roman"/>
                <w:b w:val="0"/>
                <w:bCs w:val="0"/>
                <w:sz w:val="22"/>
                <w:szCs w:val="22"/>
                <w:lang w:val="en-US" w:eastAsia="zh-CN"/>
              </w:rPr>
              <w:t>/1</w:t>
            </w:r>
            <w:r>
              <w:rPr>
                <w:rFonts w:hint="default" w:ascii="Times New Roman" w:hAnsi="Times New Roman" w:eastAsia="方正仿宋_GBK" w:cs="Times New Roman"/>
                <w:b w:val="0"/>
                <w:bCs w:val="0"/>
                <w:sz w:val="22"/>
                <w:szCs w:val="22"/>
              </w:rPr>
              <w:t>0万）</w:t>
            </w:r>
          </w:p>
        </w:tc>
        <w:tc>
          <w:tcPr>
            <w:tcW w:w="1019" w:type="dxa"/>
            <w:noWrap w:val="0"/>
            <w:vAlign w:val="center"/>
          </w:tcPr>
          <w:p w14:paraId="1E6C4965">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color w:val="000000" w:themeColor="text1"/>
                <w:sz w:val="22"/>
                <w:szCs w:val="22"/>
                <w:lang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2"/>
                <w:szCs w:val="22"/>
                <w14:textFill>
                  <w14:solidFill>
                    <w14:schemeClr w14:val="tx1"/>
                  </w14:solidFill>
                </w14:textFill>
              </w:rPr>
              <w:t>4</w:t>
            </w:r>
            <w:r>
              <w:rPr>
                <w:rFonts w:hint="default" w:ascii="Times New Roman" w:hAnsi="Times New Roman" w:eastAsia="方正仿宋_GBK" w:cs="Times New Roman"/>
                <w:b w:val="0"/>
                <w:bCs w:val="0"/>
                <w:color w:val="000000" w:themeColor="text1"/>
                <w:sz w:val="22"/>
                <w:szCs w:val="22"/>
                <w:lang w:val="en-US" w:eastAsia="zh-CN"/>
                <w14:textFill>
                  <w14:solidFill>
                    <w14:schemeClr w14:val="tx1"/>
                  </w14:solidFill>
                </w14:textFill>
              </w:rPr>
              <w:t>5</w:t>
            </w:r>
          </w:p>
        </w:tc>
        <w:tc>
          <w:tcPr>
            <w:tcW w:w="1019" w:type="dxa"/>
            <w:noWrap w:val="0"/>
            <w:vAlign w:val="center"/>
          </w:tcPr>
          <w:p w14:paraId="3B2BB403">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eastAsia" w:ascii="Times New Roman" w:hAnsi="Times New Roman" w:eastAsia="方正仿宋_GBK" w:cs="Times New Roman"/>
                <w:b w:val="0"/>
                <w:bCs w:val="0"/>
                <w:color w:val="000000" w:themeColor="text1"/>
                <w:sz w:val="22"/>
                <w:szCs w:val="2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22"/>
                <w:szCs w:val="22"/>
                <w14:textFill>
                  <w14:solidFill>
                    <w14:schemeClr w14:val="tx1"/>
                  </w14:solidFill>
                </w14:textFill>
              </w:rPr>
              <w:t>4</w:t>
            </w:r>
            <w:r>
              <w:rPr>
                <w:rFonts w:hint="eastAsia" w:eastAsia="方正仿宋_GBK" w:cs="Times New Roman"/>
                <w:b w:val="0"/>
                <w:bCs w:val="0"/>
                <w:color w:val="000000" w:themeColor="text1"/>
                <w:sz w:val="22"/>
                <w:szCs w:val="22"/>
                <w:lang w:val="en-US" w:eastAsia="zh-CN"/>
                <w14:textFill>
                  <w14:solidFill>
                    <w14:schemeClr w14:val="tx1"/>
                  </w14:solidFill>
                </w14:textFill>
              </w:rPr>
              <w:t>0</w:t>
            </w:r>
          </w:p>
        </w:tc>
        <w:tc>
          <w:tcPr>
            <w:tcW w:w="1019" w:type="dxa"/>
            <w:noWrap w:val="0"/>
            <w:vAlign w:val="center"/>
          </w:tcPr>
          <w:p w14:paraId="3B7CAD12">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eastAsia"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rPr>
              <w:t>3</w:t>
            </w:r>
            <w:r>
              <w:rPr>
                <w:rFonts w:hint="eastAsia" w:ascii="Times New Roman" w:hAnsi="Times New Roman" w:eastAsia="方正仿宋_GBK" w:cs="Times New Roman"/>
                <w:b w:val="0"/>
                <w:bCs w:val="0"/>
                <w:sz w:val="22"/>
                <w:szCs w:val="22"/>
                <w:lang w:val="en-US" w:eastAsia="zh-CN"/>
              </w:rPr>
              <w:t>5</w:t>
            </w:r>
          </w:p>
        </w:tc>
        <w:tc>
          <w:tcPr>
            <w:tcW w:w="1019" w:type="dxa"/>
            <w:noWrap w:val="0"/>
            <w:vAlign w:val="center"/>
          </w:tcPr>
          <w:p w14:paraId="73B9C51E">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eastAsia"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rPr>
              <w:t>2</w:t>
            </w:r>
            <w:r>
              <w:rPr>
                <w:rFonts w:hint="eastAsia" w:ascii="Times New Roman" w:hAnsi="Times New Roman" w:eastAsia="方正仿宋_GBK" w:cs="Times New Roman"/>
                <w:b w:val="0"/>
                <w:bCs w:val="0"/>
                <w:sz w:val="22"/>
                <w:szCs w:val="22"/>
                <w:lang w:val="en-US" w:eastAsia="zh-CN"/>
              </w:rPr>
              <w:t>0</w:t>
            </w:r>
          </w:p>
        </w:tc>
        <w:tc>
          <w:tcPr>
            <w:tcW w:w="1019" w:type="dxa"/>
            <w:tcBorders>
              <w:right w:val="single" w:color="000000" w:sz="4" w:space="0"/>
            </w:tcBorders>
            <w:noWrap w:val="0"/>
            <w:vAlign w:val="center"/>
          </w:tcPr>
          <w:p w14:paraId="25236527">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10</w:t>
            </w:r>
          </w:p>
        </w:tc>
      </w:tr>
      <w:tr w14:paraId="7206A0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1147" w:type="dxa"/>
            <w:vMerge w:val="restart"/>
            <w:tcBorders>
              <w:left w:val="single" w:color="000000" w:sz="4" w:space="0"/>
              <w:bottom w:val="nil"/>
            </w:tcBorders>
            <w:noWrap w:val="0"/>
            <w:vAlign w:val="center"/>
          </w:tcPr>
          <w:p w14:paraId="28D3BA80">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患者发现</w:t>
            </w:r>
          </w:p>
        </w:tc>
        <w:tc>
          <w:tcPr>
            <w:tcW w:w="2641" w:type="dxa"/>
            <w:gridSpan w:val="2"/>
            <w:noWrap w:val="0"/>
            <w:vAlign w:val="center"/>
          </w:tcPr>
          <w:p w14:paraId="6041C64F">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报告结核病患者登记率（%）</w:t>
            </w:r>
          </w:p>
        </w:tc>
        <w:tc>
          <w:tcPr>
            <w:tcW w:w="1019" w:type="dxa"/>
            <w:noWrap w:val="0"/>
            <w:vAlign w:val="center"/>
          </w:tcPr>
          <w:p w14:paraId="4BFDAB58">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70</w:t>
            </w:r>
          </w:p>
        </w:tc>
        <w:tc>
          <w:tcPr>
            <w:tcW w:w="1019" w:type="dxa"/>
            <w:noWrap w:val="0"/>
            <w:vAlign w:val="center"/>
          </w:tcPr>
          <w:p w14:paraId="55515C85">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90</w:t>
            </w:r>
          </w:p>
        </w:tc>
        <w:tc>
          <w:tcPr>
            <w:tcW w:w="1019" w:type="dxa"/>
            <w:noWrap w:val="0"/>
            <w:vAlign w:val="center"/>
          </w:tcPr>
          <w:p w14:paraId="21D46D22">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92</w:t>
            </w:r>
          </w:p>
        </w:tc>
        <w:tc>
          <w:tcPr>
            <w:tcW w:w="1019" w:type="dxa"/>
            <w:noWrap w:val="0"/>
            <w:vAlign w:val="center"/>
          </w:tcPr>
          <w:p w14:paraId="000124C4">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95</w:t>
            </w:r>
          </w:p>
        </w:tc>
        <w:tc>
          <w:tcPr>
            <w:tcW w:w="1019" w:type="dxa"/>
            <w:tcBorders>
              <w:right w:val="single" w:color="000000" w:sz="4" w:space="0"/>
            </w:tcBorders>
            <w:noWrap w:val="0"/>
            <w:vAlign w:val="center"/>
          </w:tcPr>
          <w:p w14:paraId="2B18C7E0">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95</w:t>
            </w:r>
          </w:p>
        </w:tc>
      </w:tr>
      <w:tr w14:paraId="65C32F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jc w:val="center"/>
        </w:trPr>
        <w:tc>
          <w:tcPr>
            <w:tcW w:w="1147" w:type="dxa"/>
            <w:vMerge w:val="continue"/>
            <w:tcBorders>
              <w:top w:val="nil"/>
              <w:left w:val="single" w:color="000000" w:sz="4" w:space="0"/>
              <w:bottom w:val="nil"/>
            </w:tcBorders>
            <w:noWrap w:val="0"/>
            <w:vAlign w:val="center"/>
          </w:tcPr>
          <w:p w14:paraId="42CEB57C">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p>
        </w:tc>
        <w:tc>
          <w:tcPr>
            <w:tcW w:w="2641" w:type="dxa"/>
            <w:gridSpan w:val="2"/>
            <w:noWrap w:val="0"/>
            <w:vAlign w:val="center"/>
          </w:tcPr>
          <w:p w14:paraId="6311916D">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可疑症状者或疑似患者的病原学检查率（%）</w:t>
            </w:r>
          </w:p>
        </w:tc>
        <w:tc>
          <w:tcPr>
            <w:tcW w:w="1019" w:type="dxa"/>
            <w:noWrap w:val="0"/>
            <w:vAlign w:val="center"/>
          </w:tcPr>
          <w:p w14:paraId="45A441B2">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c>
          <w:tcPr>
            <w:tcW w:w="1019" w:type="dxa"/>
            <w:noWrap w:val="0"/>
            <w:vAlign w:val="center"/>
          </w:tcPr>
          <w:p w14:paraId="4B9CB370">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90</w:t>
            </w:r>
          </w:p>
        </w:tc>
        <w:tc>
          <w:tcPr>
            <w:tcW w:w="1019" w:type="dxa"/>
            <w:noWrap w:val="0"/>
            <w:vAlign w:val="center"/>
          </w:tcPr>
          <w:p w14:paraId="414F04EF">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92</w:t>
            </w:r>
          </w:p>
        </w:tc>
        <w:tc>
          <w:tcPr>
            <w:tcW w:w="1019" w:type="dxa"/>
            <w:noWrap w:val="0"/>
            <w:vAlign w:val="center"/>
          </w:tcPr>
          <w:p w14:paraId="29AB2DE7">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95</w:t>
            </w:r>
          </w:p>
        </w:tc>
        <w:tc>
          <w:tcPr>
            <w:tcW w:w="1019" w:type="dxa"/>
            <w:tcBorders>
              <w:right w:val="single" w:color="000000" w:sz="4" w:space="0"/>
            </w:tcBorders>
            <w:noWrap w:val="0"/>
            <w:vAlign w:val="center"/>
          </w:tcPr>
          <w:p w14:paraId="03AD4BCE">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95</w:t>
            </w:r>
          </w:p>
        </w:tc>
      </w:tr>
      <w:tr w14:paraId="10D25B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3" w:hRule="atLeast"/>
          <w:jc w:val="center"/>
        </w:trPr>
        <w:tc>
          <w:tcPr>
            <w:tcW w:w="1147" w:type="dxa"/>
            <w:vMerge w:val="continue"/>
            <w:tcBorders>
              <w:top w:val="nil"/>
              <w:left w:val="single" w:color="000000" w:sz="4" w:space="0"/>
              <w:bottom w:val="nil"/>
            </w:tcBorders>
            <w:noWrap w:val="0"/>
            <w:vAlign w:val="center"/>
          </w:tcPr>
          <w:p w14:paraId="01DA2048">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p>
        </w:tc>
        <w:tc>
          <w:tcPr>
            <w:tcW w:w="2641" w:type="dxa"/>
            <w:gridSpan w:val="2"/>
            <w:noWrap w:val="0"/>
            <w:vAlign w:val="center"/>
          </w:tcPr>
          <w:p w14:paraId="065F479E">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入学新生、高二学生结核病检查率（%）</w:t>
            </w:r>
          </w:p>
        </w:tc>
        <w:tc>
          <w:tcPr>
            <w:tcW w:w="1019" w:type="dxa"/>
            <w:noWrap w:val="0"/>
            <w:vAlign w:val="center"/>
          </w:tcPr>
          <w:p w14:paraId="63F25E9D">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c>
          <w:tcPr>
            <w:tcW w:w="1019" w:type="dxa"/>
            <w:noWrap w:val="0"/>
            <w:vAlign w:val="center"/>
          </w:tcPr>
          <w:p w14:paraId="28D47DE9">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90</w:t>
            </w:r>
          </w:p>
        </w:tc>
        <w:tc>
          <w:tcPr>
            <w:tcW w:w="1019" w:type="dxa"/>
            <w:noWrap w:val="0"/>
            <w:vAlign w:val="center"/>
          </w:tcPr>
          <w:p w14:paraId="13579AF0">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95</w:t>
            </w:r>
          </w:p>
        </w:tc>
        <w:tc>
          <w:tcPr>
            <w:tcW w:w="1019" w:type="dxa"/>
            <w:noWrap w:val="0"/>
            <w:vAlign w:val="center"/>
          </w:tcPr>
          <w:p w14:paraId="6D0463A5">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95</w:t>
            </w:r>
          </w:p>
        </w:tc>
        <w:tc>
          <w:tcPr>
            <w:tcW w:w="1019" w:type="dxa"/>
            <w:tcBorders>
              <w:right w:val="single" w:color="000000" w:sz="4" w:space="0"/>
            </w:tcBorders>
            <w:noWrap w:val="0"/>
            <w:vAlign w:val="center"/>
          </w:tcPr>
          <w:p w14:paraId="7AEFC68C">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95</w:t>
            </w:r>
          </w:p>
        </w:tc>
      </w:tr>
      <w:tr w14:paraId="3D001D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1147" w:type="dxa"/>
            <w:vMerge w:val="continue"/>
            <w:tcBorders>
              <w:top w:val="nil"/>
              <w:left w:val="single" w:color="000000" w:sz="4" w:space="0"/>
              <w:bottom w:val="nil"/>
            </w:tcBorders>
            <w:noWrap w:val="0"/>
            <w:vAlign w:val="center"/>
          </w:tcPr>
          <w:p w14:paraId="6B23B24B">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p>
        </w:tc>
        <w:tc>
          <w:tcPr>
            <w:tcW w:w="2641" w:type="dxa"/>
            <w:gridSpan w:val="2"/>
            <w:noWrap w:val="0"/>
            <w:vAlign w:val="top"/>
          </w:tcPr>
          <w:p w14:paraId="3A000A71">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教职员工结核病检查率（%）</w:t>
            </w:r>
          </w:p>
        </w:tc>
        <w:tc>
          <w:tcPr>
            <w:tcW w:w="1019" w:type="dxa"/>
            <w:noWrap w:val="0"/>
            <w:vAlign w:val="center"/>
          </w:tcPr>
          <w:p w14:paraId="3BA3F132">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w:t>
            </w:r>
          </w:p>
        </w:tc>
        <w:tc>
          <w:tcPr>
            <w:tcW w:w="1019" w:type="dxa"/>
            <w:noWrap w:val="0"/>
            <w:vAlign w:val="center"/>
          </w:tcPr>
          <w:p w14:paraId="029D8981">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100</w:t>
            </w:r>
          </w:p>
        </w:tc>
        <w:tc>
          <w:tcPr>
            <w:tcW w:w="1019" w:type="dxa"/>
            <w:noWrap w:val="0"/>
            <w:vAlign w:val="center"/>
          </w:tcPr>
          <w:p w14:paraId="7F293915">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100</w:t>
            </w:r>
          </w:p>
        </w:tc>
        <w:tc>
          <w:tcPr>
            <w:tcW w:w="1019" w:type="dxa"/>
            <w:noWrap w:val="0"/>
            <w:vAlign w:val="center"/>
          </w:tcPr>
          <w:p w14:paraId="57212D9C">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100</w:t>
            </w:r>
          </w:p>
        </w:tc>
        <w:tc>
          <w:tcPr>
            <w:tcW w:w="1019" w:type="dxa"/>
            <w:tcBorders>
              <w:right w:val="single" w:color="000000" w:sz="4" w:space="0"/>
            </w:tcBorders>
            <w:noWrap w:val="0"/>
            <w:vAlign w:val="center"/>
          </w:tcPr>
          <w:p w14:paraId="565BC8F4">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100</w:t>
            </w:r>
          </w:p>
        </w:tc>
      </w:tr>
      <w:tr w14:paraId="0B61C0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1147" w:type="dxa"/>
            <w:vMerge w:val="continue"/>
            <w:tcBorders>
              <w:top w:val="nil"/>
              <w:left w:val="single" w:color="000000" w:sz="4" w:space="0"/>
              <w:bottom w:val="nil"/>
            </w:tcBorders>
            <w:noWrap w:val="0"/>
            <w:vAlign w:val="center"/>
          </w:tcPr>
          <w:p w14:paraId="0CEED6E3">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p>
        </w:tc>
        <w:tc>
          <w:tcPr>
            <w:tcW w:w="757" w:type="dxa"/>
            <w:vMerge w:val="restart"/>
            <w:tcBorders>
              <w:bottom w:val="nil"/>
            </w:tcBorders>
            <w:noWrap w:val="0"/>
            <w:vAlign w:val="center"/>
          </w:tcPr>
          <w:p w14:paraId="74D9EC66">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65岁以上老年人结核病检查率（%）</w:t>
            </w:r>
          </w:p>
        </w:tc>
        <w:tc>
          <w:tcPr>
            <w:tcW w:w="1884" w:type="dxa"/>
            <w:noWrap w:val="0"/>
            <w:vAlign w:val="center"/>
          </w:tcPr>
          <w:p w14:paraId="2F54B4E6">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高疫情地区</w:t>
            </w:r>
          </w:p>
        </w:tc>
        <w:tc>
          <w:tcPr>
            <w:tcW w:w="1019" w:type="dxa"/>
            <w:noWrap w:val="0"/>
            <w:vAlign w:val="center"/>
          </w:tcPr>
          <w:p w14:paraId="6A6C2D3C">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w:t>
            </w:r>
          </w:p>
        </w:tc>
        <w:tc>
          <w:tcPr>
            <w:tcW w:w="1019" w:type="dxa"/>
            <w:noWrap w:val="0"/>
            <w:vAlign w:val="center"/>
          </w:tcPr>
          <w:p w14:paraId="2F64E0FE">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80</w:t>
            </w:r>
          </w:p>
        </w:tc>
        <w:tc>
          <w:tcPr>
            <w:tcW w:w="1019" w:type="dxa"/>
            <w:noWrap w:val="0"/>
            <w:vAlign w:val="center"/>
          </w:tcPr>
          <w:p w14:paraId="08F7E007">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85</w:t>
            </w:r>
          </w:p>
        </w:tc>
        <w:tc>
          <w:tcPr>
            <w:tcW w:w="1019" w:type="dxa"/>
            <w:noWrap w:val="0"/>
            <w:vAlign w:val="center"/>
          </w:tcPr>
          <w:p w14:paraId="65BB96DC">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95</w:t>
            </w:r>
          </w:p>
        </w:tc>
        <w:tc>
          <w:tcPr>
            <w:tcW w:w="1019" w:type="dxa"/>
            <w:tcBorders>
              <w:right w:val="single" w:color="000000" w:sz="4" w:space="0"/>
            </w:tcBorders>
            <w:noWrap w:val="0"/>
            <w:vAlign w:val="center"/>
          </w:tcPr>
          <w:p w14:paraId="538DCF5A">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95</w:t>
            </w:r>
          </w:p>
        </w:tc>
      </w:tr>
      <w:tr w14:paraId="5B3A1A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1147" w:type="dxa"/>
            <w:vMerge w:val="continue"/>
            <w:tcBorders>
              <w:top w:val="nil"/>
              <w:left w:val="single" w:color="000000" w:sz="4" w:space="0"/>
              <w:bottom w:val="nil"/>
            </w:tcBorders>
            <w:noWrap w:val="0"/>
            <w:vAlign w:val="center"/>
          </w:tcPr>
          <w:p w14:paraId="0FE5091C">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p>
        </w:tc>
        <w:tc>
          <w:tcPr>
            <w:tcW w:w="757" w:type="dxa"/>
            <w:vMerge w:val="continue"/>
            <w:tcBorders>
              <w:top w:val="nil"/>
              <w:bottom w:val="nil"/>
            </w:tcBorders>
            <w:noWrap w:val="0"/>
            <w:vAlign w:val="center"/>
          </w:tcPr>
          <w:p w14:paraId="5DE7FD05">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p>
        </w:tc>
        <w:tc>
          <w:tcPr>
            <w:tcW w:w="1884" w:type="dxa"/>
            <w:noWrap w:val="0"/>
            <w:vAlign w:val="center"/>
          </w:tcPr>
          <w:p w14:paraId="5F3556B4">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中疫情地区</w:t>
            </w:r>
          </w:p>
        </w:tc>
        <w:tc>
          <w:tcPr>
            <w:tcW w:w="1019" w:type="dxa"/>
            <w:noWrap w:val="0"/>
            <w:vAlign w:val="center"/>
          </w:tcPr>
          <w:p w14:paraId="657987EC">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w:t>
            </w:r>
          </w:p>
        </w:tc>
        <w:tc>
          <w:tcPr>
            <w:tcW w:w="1019" w:type="dxa"/>
            <w:noWrap w:val="0"/>
            <w:vAlign w:val="center"/>
          </w:tcPr>
          <w:p w14:paraId="45226C0B">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70</w:t>
            </w:r>
          </w:p>
        </w:tc>
        <w:tc>
          <w:tcPr>
            <w:tcW w:w="1019" w:type="dxa"/>
            <w:noWrap w:val="0"/>
            <w:vAlign w:val="center"/>
          </w:tcPr>
          <w:p w14:paraId="25FBB2CD">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80</w:t>
            </w:r>
          </w:p>
        </w:tc>
        <w:tc>
          <w:tcPr>
            <w:tcW w:w="1019" w:type="dxa"/>
            <w:noWrap w:val="0"/>
            <w:vAlign w:val="center"/>
          </w:tcPr>
          <w:p w14:paraId="183C7657">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c>
          <w:tcPr>
            <w:tcW w:w="1019" w:type="dxa"/>
            <w:tcBorders>
              <w:right w:val="single" w:color="000000" w:sz="4" w:space="0"/>
            </w:tcBorders>
            <w:noWrap w:val="0"/>
            <w:vAlign w:val="center"/>
          </w:tcPr>
          <w:p w14:paraId="2633131E">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r>
      <w:tr w14:paraId="38C552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1147" w:type="dxa"/>
            <w:vMerge w:val="continue"/>
            <w:tcBorders>
              <w:top w:val="nil"/>
              <w:left w:val="single" w:color="000000" w:sz="4" w:space="0"/>
            </w:tcBorders>
            <w:noWrap w:val="0"/>
            <w:vAlign w:val="center"/>
          </w:tcPr>
          <w:p w14:paraId="4717EF4A">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p>
        </w:tc>
        <w:tc>
          <w:tcPr>
            <w:tcW w:w="757" w:type="dxa"/>
            <w:vMerge w:val="continue"/>
            <w:tcBorders>
              <w:top w:val="nil"/>
            </w:tcBorders>
            <w:noWrap w:val="0"/>
            <w:vAlign w:val="center"/>
          </w:tcPr>
          <w:p w14:paraId="29B9A403">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p>
        </w:tc>
        <w:tc>
          <w:tcPr>
            <w:tcW w:w="1884" w:type="dxa"/>
            <w:noWrap w:val="0"/>
            <w:vAlign w:val="center"/>
          </w:tcPr>
          <w:p w14:paraId="16372207">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低疫情地区</w:t>
            </w:r>
          </w:p>
        </w:tc>
        <w:tc>
          <w:tcPr>
            <w:tcW w:w="1019" w:type="dxa"/>
            <w:noWrap w:val="0"/>
            <w:vAlign w:val="center"/>
          </w:tcPr>
          <w:p w14:paraId="3658B870">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w:t>
            </w:r>
          </w:p>
        </w:tc>
        <w:tc>
          <w:tcPr>
            <w:tcW w:w="1019" w:type="dxa"/>
            <w:noWrap w:val="0"/>
            <w:vAlign w:val="center"/>
          </w:tcPr>
          <w:p w14:paraId="428CC11D">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70</w:t>
            </w:r>
          </w:p>
        </w:tc>
        <w:tc>
          <w:tcPr>
            <w:tcW w:w="1019" w:type="dxa"/>
            <w:noWrap w:val="0"/>
            <w:vAlign w:val="center"/>
          </w:tcPr>
          <w:p w14:paraId="1C592FF9">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75</w:t>
            </w:r>
          </w:p>
        </w:tc>
        <w:tc>
          <w:tcPr>
            <w:tcW w:w="1019" w:type="dxa"/>
            <w:noWrap w:val="0"/>
            <w:vAlign w:val="center"/>
          </w:tcPr>
          <w:p w14:paraId="1BBA991D">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80</w:t>
            </w:r>
          </w:p>
        </w:tc>
        <w:tc>
          <w:tcPr>
            <w:tcW w:w="1019" w:type="dxa"/>
            <w:tcBorders>
              <w:right w:val="single" w:color="000000" w:sz="4" w:space="0"/>
            </w:tcBorders>
            <w:noWrap w:val="0"/>
            <w:vAlign w:val="center"/>
          </w:tcPr>
          <w:p w14:paraId="39CEC7F0">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80</w:t>
            </w:r>
          </w:p>
        </w:tc>
      </w:tr>
      <w:tr w14:paraId="7E56C6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2" w:hRule="atLeast"/>
          <w:jc w:val="center"/>
        </w:trPr>
        <w:tc>
          <w:tcPr>
            <w:tcW w:w="1147" w:type="dxa"/>
            <w:vMerge w:val="restart"/>
            <w:tcBorders>
              <w:left w:val="single" w:color="000000" w:sz="4" w:space="0"/>
              <w:bottom w:val="nil"/>
            </w:tcBorders>
            <w:noWrap w:val="0"/>
            <w:vAlign w:val="center"/>
          </w:tcPr>
          <w:p w14:paraId="5CA9A404">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患者治疗</w:t>
            </w:r>
          </w:p>
        </w:tc>
        <w:tc>
          <w:tcPr>
            <w:tcW w:w="2641" w:type="dxa"/>
            <w:gridSpan w:val="2"/>
            <w:noWrap w:val="0"/>
            <w:vAlign w:val="center"/>
          </w:tcPr>
          <w:p w14:paraId="51E9CA9F">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传染期结核病患者定点住院治疗率（%）</w:t>
            </w:r>
          </w:p>
        </w:tc>
        <w:tc>
          <w:tcPr>
            <w:tcW w:w="1019" w:type="dxa"/>
            <w:noWrap w:val="0"/>
            <w:vAlign w:val="center"/>
          </w:tcPr>
          <w:p w14:paraId="39EFB24D">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w:t>
            </w:r>
          </w:p>
        </w:tc>
        <w:tc>
          <w:tcPr>
            <w:tcW w:w="1019" w:type="dxa"/>
            <w:noWrap w:val="0"/>
            <w:vAlign w:val="center"/>
          </w:tcPr>
          <w:p w14:paraId="4814AEBC">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70</w:t>
            </w:r>
          </w:p>
          <w:p w14:paraId="4D8133CB">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（高疫情</w:t>
            </w:r>
          </w:p>
          <w:p w14:paraId="42E26E57">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地区）</w:t>
            </w:r>
          </w:p>
        </w:tc>
        <w:tc>
          <w:tcPr>
            <w:tcW w:w="1019" w:type="dxa"/>
            <w:noWrap w:val="0"/>
            <w:vAlign w:val="center"/>
          </w:tcPr>
          <w:p w14:paraId="5FE7AB62">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70</w:t>
            </w:r>
          </w:p>
        </w:tc>
        <w:tc>
          <w:tcPr>
            <w:tcW w:w="1019" w:type="dxa"/>
            <w:noWrap w:val="0"/>
            <w:vAlign w:val="center"/>
          </w:tcPr>
          <w:p w14:paraId="44D49501">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c>
          <w:tcPr>
            <w:tcW w:w="1019" w:type="dxa"/>
            <w:tcBorders>
              <w:right w:val="single" w:color="000000" w:sz="4" w:space="0"/>
            </w:tcBorders>
            <w:noWrap w:val="0"/>
            <w:vAlign w:val="center"/>
          </w:tcPr>
          <w:p w14:paraId="785892D6">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r>
      <w:tr w14:paraId="63CC83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1147" w:type="dxa"/>
            <w:vMerge w:val="continue"/>
            <w:tcBorders>
              <w:top w:val="nil"/>
              <w:left w:val="single" w:color="000000" w:sz="4" w:space="0"/>
              <w:bottom w:val="nil"/>
            </w:tcBorders>
            <w:noWrap w:val="0"/>
            <w:vAlign w:val="center"/>
          </w:tcPr>
          <w:p w14:paraId="26754D64">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p>
        </w:tc>
        <w:tc>
          <w:tcPr>
            <w:tcW w:w="2641" w:type="dxa"/>
            <w:gridSpan w:val="2"/>
            <w:noWrap w:val="0"/>
            <w:vAlign w:val="center"/>
          </w:tcPr>
          <w:p w14:paraId="54CA0E6D">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结核病患者成功治疗率（%）</w:t>
            </w:r>
          </w:p>
        </w:tc>
        <w:tc>
          <w:tcPr>
            <w:tcW w:w="1019" w:type="dxa"/>
            <w:noWrap w:val="0"/>
            <w:vAlign w:val="center"/>
          </w:tcPr>
          <w:p w14:paraId="7E7A0FD5">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89.9</w:t>
            </w:r>
          </w:p>
        </w:tc>
        <w:tc>
          <w:tcPr>
            <w:tcW w:w="1019" w:type="dxa"/>
            <w:noWrap w:val="0"/>
            <w:vAlign w:val="center"/>
          </w:tcPr>
          <w:p w14:paraId="0C2B6AE8">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c>
          <w:tcPr>
            <w:tcW w:w="1019" w:type="dxa"/>
            <w:noWrap w:val="0"/>
            <w:vAlign w:val="center"/>
          </w:tcPr>
          <w:p w14:paraId="59D27327">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c>
          <w:tcPr>
            <w:tcW w:w="1019" w:type="dxa"/>
            <w:noWrap w:val="0"/>
            <w:vAlign w:val="center"/>
          </w:tcPr>
          <w:p w14:paraId="074843D1">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c>
          <w:tcPr>
            <w:tcW w:w="1019" w:type="dxa"/>
            <w:tcBorders>
              <w:right w:val="single" w:color="000000" w:sz="4" w:space="0"/>
            </w:tcBorders>
            <w:noWrap w:val="0"/>
            <w:vAlign w:val="center"/>
          </w:tcPr>
          <w:p w14:paraId="2247DEDA">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r>
      <w:tr w14:paraId="78BE27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3" w:hRule="atLeast"/>
          <w:jc w:val="center"/>
        </w:trPr>
        <w:tc>
          <w:tcPr>
            <w:tcW w:w="1147" w:type="dxa"/>
            <w:vMerge w:val="continue"/>
            <w:tcBorders>
              <w:top w:val="nil"/>
              <w:left w:val="single" w:color="000000" w:sz="4" w:space="0"/>
              <w:bottom w:val="nil"/>
            </w:tcBorders>
            <w:noWrap w:val="0"/>
            <w:vAlign w:val="center"/>
          </w:tcPr>
          <w:p w14:paraId="53806E27">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p>
        </w:tc>
        <w:tc>
          <w:tcPr>
            <w:tcW w:w="2641" w:type="dxa"/>
            <w:gridSpan w:val="2"/>
            <w:noWrap w:val="0"/>
            <w:vAlign w:val="center"/>
          </w:tcPr>
          <w:p w14:paraId="1F60EE44">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利福平敏感结核病患者标准治疗方案使用率（%）</w:t>
            </w:r>
          </w:p>
        </w:tc>
        <w:tc>
          <w:tcPr>
            <w:tcW w:w="1019" w:type="dxa"/>
            <w:noWrap w:val="0"/>
            <w:vAlign w:val="center"/>
          </w:tcPr>
          <w:p w14:paraId="7811CA21">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84.6</w:t>
            </w:r>
          </w:p>
        </w:tc>
        <w:tc>
          <w:tcPr>
            <w:tcW w:w="1019" w:type="dxa"/>
            <w:noWrap w:val="0"/>
            <w:vAlign w:val="center"/>
          </w:tcPr>
          <w:p w14:paraId="689C0EE7">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c>
          <w:tcPr>
            <w:tcW w:w="1019" w:type="dxa"/>
            <w:noWrap w:val="0"/>
            <w:vAlign w:val="center"/>
          </w:tcPr>
          <w:p w14:paraId="06573738">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c>
          <w:tcPr>
            <w:tcW w:w="1019" w:type="dxa"/>
            <w:noWrap w:val="0"/>
            <w:vAlign w:val="center"/>
          </w:tcPr>
          <w:p w14:paraId="1801EBD2">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c>
          <w:tcPr>
            <w:tcW w:w="1019" w:type="dxa"/>
            <w:tcBorders>
              <w:right w:val="single" w:color="000000" w:sz="4" w:space="0"/>
            </w:tcBorders>
            <w:noWrap w:val="0"/>
            <w:vAlign w:val="center"/>
          </w:tcPr>
          <w:p w14:paraId="410E0C79">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90</w:t>
            </w:r>
          </w:p>
        </w:tc>
      </w:tr>
      <w:tr w14:paraId="0C599F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8" w:hRule="atLeast"/>
          <w:jc w:val="center"/>
        </w:trPr>
        <w:tc>
          <w:tcPr>
            <w:tcW w:w="1147" w:type="dxa"/>
            <w:vMerge w:val="continue"/>
            <w:tcBorders>
              <w:top w:val="nil"/>
              <w:left w:val="single" w:color="000000" w:sz="4" w:space="0"/>
            </w:tcBorders>
            <w:noWrap w:val="0"/>
            <w:vAlign w:val="center"/>
          </w:tcPr>
          <w:p w14:paraId="167122B0">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p>
        </w:tc>
        <w:tc>
          <w:tcPr>
            <w:tcW w:w="2641" w:type="dxa"/>
            <w:gridSpan w:val="2"/>
            <w:noWrap w:val="0"/>
            <w:vAlign w:val="center"/>
          </w:tcPr>
          <w:p w14:paraId="2EBCA9BD">
            <w:pPr>
              <w:keepNext w:val="0"/>
              <w:keepLines w:val="0"/>
              <w:pageBreakBefore w:val="0"/>
              <w:widowControl w:val="0"/>
              <w:kinsoku/>
              <w:wordWrap/>
              <w:overflowPunct/>
              <w:topLinePunct/>
              <w:autoSpaceDE w:val="0"/>
              <w:autoSpaceDN w:val="0"/>
              <w:bidi w:val="0"/>
              <w:adjustRightInd w:val="0"/>
              <w:snapToGrid w:val="0"/>
              <w:spacing w:line="300" w:lineRule="exact"/>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利福平耐药结核病患者成功治疗率（%）</w:t>
            </w:r>
          </w:p>
        </w:tc>
        <w:tc>
          <w:tcPr>
            <w:tcW w:w="1019" w:type="dxa"/>
            <w:noWrap w:val="0"/>
            <w:vAlign w:val="center"/>
          </w:tcPr>
          <w:p w14:paraId="1CFF30E3">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58.8</w:t>
            </w:r>
          </w:p>
        </w:tc>
        <w:tc>
          <w:tcPr>
            <w:tcW w:w="1019" w:type="dxa"/>
            <w:noWrap w:val="0"/>
            <w:vAlign w:val="center"/>
          </w:tcPr>
          <w:p w14:paraId="39CA4CF0">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65</w:t>
            </w:r>
          </w:p>
        </w:tc>
        <w:tc>
          <w:tcPr>
            <w:tcW w:w="1019" w:type="dxa"/>
            <w:noWrap w:val="0"/>
            <w:vAlign w:val="center"/>
          </w:tcPr>
          <w:p w14:paraId="260B6CF5">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70</w:t>
            </w:r>
          </w:p>
        </w:tc>
        <w:tc>
          <w:tcPr>
            <w:tcW w:w="1019" w:type="dxa"/>
            <w:noWrap w:val="0"/>
            <w:vAlign w:val="center"/>
          </w:tcPr>
          <w:p w14:paraId="0B9980BF">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75</w:t>
            </w:r>
          </w:p>
        </w:tc>
        <w:tc>
          <w:tcPr>
            <w:tcW w:w="1019" w:type="dxa"/>
            <w:tcBorders>
              <w:right w:val="single" w:color="000000" w:sz="4" w:space="0"/>
            </w:tcBorders>
            <w:noWrap w:val="0"/>
            <w:vAlign w:val="center"/>
          </w:tcPr>
          <w:p w14:paraId="1B5094B6">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75</w:t>
            </w:r>
          </w:p>
        </w:tc>
      </w:tr>
      <w:tr w14:paraId="5CCBF1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5" w:hRule="atLeast"/>
          <w:jc w:val="center"/>
        </w:trPr>
        <w:tc>
          <w:tcPr>
            <w:tcW w:w="1147" w:type="dxa"/>
            <w:tcBorders>
              <w:left w:val="single" w:color="000000" w:sz="4" w:space="0"/>
              <w:bottom w:val="single" w:color="000000" w:sz="4" w:space="0"/>
            </w:tcBorders>
            <w:noWrap w:val="0"/>
            <w:vAlign w:val="center"/>
          </w:tcPr>
          <w:p w14:paraId="1640DFCF">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预防性治疗</w:t>
            </w:r>
          </w:p>
        </w:tc>
        <w:tc>
          <w:tcPr>
            <w:tcW w:w="2641" w:type="dxa"/>
            <w:gridSpan w:val="2"/>
            <w:tcBorders>
              <w:bottom w:val="single" w:color="000000" w:sz="4" w:space="0"/>
            </w:tcBorders>
            <w:noWrap w:val="0"/>
            <w:vAlign w:val="center"/>
          </w:tcPr>
          <w:p w14:paraId="58E43CD2">
            <w:pPr>
              <w:keepNext w:val="0"/>
              <w:keepLines w:val="0"/>
              <w:pageBreakBefore w:val="0"/>
              <w:widowControl w:val="0"/>
              <w:kinsoku/>
              <w:wordWrap/>
              <w:overflowPunct/>
              <w:topLinePunct/>
              <w:autoSpaceDE w:val="0"/>
              <w:autoSpaceDN w:val="0"/>
              <w:bidi w:val="0"/>
              <w:adjustRightInd w:val="0"/>
              <w:snapToGrid w:val="0"/>
              <w:spacing w:line="300" w:lineRule="exact"/>
              <w:ind w:left="42" w:leftChars="20"/>
              <w:jc w:val="center"/>
              <w:textAlignment w:val="baseline"/>
              <w:rPr>
                <w:rFonts w:hint="default" w:ascii="Times New Roman" w:hAnsi="Times New Roman" w:eastAsia="方正仿宋_GBK" w:cs="Times New Roman"/>
                <w:b w:val="0"/>
                <w:bCs w:val="0"/>
                <w:sz w:val="22"/>
                <w:szCs w:val="22"/>
              </w:rPr>
            </w:pPr>
            <w:r>
              <w:rPr>
                <w:rFonts w:hint="default" w:ascii="Times New Roman" w:hAnsi="Times New Roman" w:eastAsia="方正仿宋_GBK" w:cs="Times New Roman"/>
                <w:b w:val="0"/>
                <w:bCs w:val="0"/>
                <w:sz w:val="22"/>
                <w:szCs w:val="22"/>
              </w:rPr>
              <w:t>密切接触者预防性治疗接受率（%）</w:t>
            </w:r>
          </w:p>
        </w:tc>
        <w:tc>
          <w:tcPr>
            <w:tcW w:w="1019" w:type="dxa"/>
            <w:tcBorders>
              <w:bottom w:val="single" w:color="000000" w:sz="4" w:space="0"/>
            </w:tcBorders>
            <w:noWrap w:val="0"/>
            <w:vAlign w:val="center"/>
          </w:tcPr>
          <w:p w14:paraId="0C056246">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13.6</w:t>
            </w:r>
          </w:p>
        </w:tc>
        <w:tc>
          <w:tcPr>
            <w:tcW w:w="1019" w:type="dxa"/>
            <w:tcBorders>
              <w:bottom w:val="single" w:color="000000" w:sz="4" w:space="0"/>
            </w:tcBorders>
            <w:noWrap w:val="0"/>
            <w:vAlign w:val="center"/>
          </w:tcPr>
          <w:p w14:paraId="4784F520">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40</w:t>
            </w:r>
          </w:p>
        </w:tc>
        <w:tc>
          <w:tcPr>
            <w:tcW w:w="1019" w:type="dxa"/>
            <w:tcBorders>
              <w:bottom w:val="single" w:color="000000" w:sz="4" w:space="0"/>
            </w:tcBorders>
            <w:noWrap w:val="0"/>
            <w:vAlign w:val="center"/>
          </w:tcPr>
          <w:p w14:paraId="16336DFC">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60</w:t>
            </w:r>
          </w:p>
        </w:tc>
        <w:tc>
          <w:tcPr>
            <w:tcW w:w="1019" w:type="dxa"/>
            <w:tcBorders>
              <w:bottom w:val="single" w:color="000000" w:sz="4" w:space="0"/>
            </w:tcBorders>
            <w:noWrap w:val="0"/>
            <w:vAlign w:val="center"/>
          </w:tcPr>
          <w:p w14:paraId="471D99BE">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80</w:t>
            </w:r>
          </w:p>
        </w:tc>
        <w:tc>
          <w:tcPr>
            <w:tcW w:w="1019" w:type="dxa"/>
            <w:tcBorders>
              <w:bottom w:val="single" w:color="000000" w:sz="4" w:space="0"/>
              <w:right w:val="single" w:color="000000" w:sz="4" w:space="0"/>
            </w:tcBorders>
            <w:noWrap w:val="0"/>
            <w:vAlign w:val="center"/>
          </w:tcPr>
          <w:p w14:paraId="7EFFCCF5">
            <w:pPr>
              <w:keepNext w:val="0"/>
              <w:keepLines w:val="0"/>
              <w:pageBreakBefore w:val="0"/>
              <w:widowControl w:val="0"/>
              <w:kinsoku/>
              <w:wordWrap/>
              <w:overflowPunct/>
              <w:topLinePunct/>
              <w:autoSpaceDE w:val="0"/>
              <w:autoSpaceDN w:val="0"/>
              <w:bidi w:val="0"/>
              <w:adjustRightInd w:val="0"/>
              <w:snapToGrid w:val="0"/>
              <w:spacing w:line="240" w:lineRule="auto"/>
              <w:jc w:val="center"/>
              <w:textAlignment w:val="baseline"/>
              <w:rPr>
                <w:rFonts w:hint="default" w:ascii="Times New Roman" w:hAnsi="Times New Roman" w:eastAsia="方正仿宋_GBK" w:cs="Times New Roman"/>
                <w:b w:val="0"/>
                <w:bCs w:val="0"/>
                <w:sz w:val="22"/>
                <w:szCs w:val="22"/>
                <w:lang w:val="en-US" w:eastAsia="zh-CN"/>
              </w:rPr>
            </w:pPr>
            <w:r>
              <w:rPr>
                <w:rFonts w:hint="default" w:ascii="Times New Roman" w:hAnsi="Times New Roman" w:eastAsia="方正仿宋_GBK" w:cs="Times New Roman"/>
                <w:b w:val="0"/>
                <w:bCs w:val="0"/>
                <w:sz w:val="22"/>
                <w:szCs w:val="22"/>
                <w:lang w:val="en-US" w:eastAsia="zh-CN"/>
              </w:rPr>
              <w:t>80</w:t>
            </w:r>
          </w:p>
        </w:tc>
      </w:tr>
    </w:tbl>
    <w:p w14:paraId="33A9EA6A">
      <w:pPr>
        <w:keepNext w:val="0"/>
        <w:keepLines w:val="0"/>
        <w:pageBreakBefore w:val="0"/>
        <w:widowControl w:val="0"/>
        <w:kinsoku/>
        <w:wordWrap/>
        <w:overflowPunct/>
        <w:topLinePunct/>
        <w:autoSpaceDE w:val="0"/>
        <w:autoSpaceDN w:val="0"/>
        <w:bidi w:val="0"/>
        <w:adjustRightInd w:val="0"/>
        <w:snapToGrid w:val="0"/>
        <w:spacing w:line="594" w:lineRule="exact"/>
        <w:jc w:val="both"/>
        <w:textAlignment w:val="baseline"/>
        <w:rPr>
          <w:rFonts w:hint="default" w:ascii="Times New Roman" w:hAnsi="Times New Roman" w:eastAsia="方正仿宋_GBK" w:cs="Times New Roman"/>
          <w:b w:val="0"/>
          <w:bCs w:val="0"/>
          <w:sz w:val="22"/>
          <w:szCs w:val="22"/>
        </w:rPr>
        <w:sectPr>
          <w:footerReference r:id="rId3" w:type="default"/>
          <w:footerReference r:id="rId4" w:type="even"/>
          <w:pgSz w:w="11905" w:h="16841"/>
          <w:pgMar w:top="2098" w:right="1474" w:bottom="1984" w:left="1587" w:header="964" w:footer="1474" w:gutter="0"/>
          <w:pgNumType w:fmt="decimal" w:start="1"/>
          <w:cols w:space="0" w:num="1"/>
          <w:rtlGutter w:val="0"/>
          <w:docGrid w:linePitch="0" w:charSpace="0"/>
        </w:sectPr>
      </w:pPr>
    </w:p>
    <w:p w14:paraId="4EE00783">
      <w:pPr>
        <w:keepNext w:val="0"/>
        <w:keepLines w:val="0"/>
        <w:pageBreakBefore w:val="0"/>
        <w:widowControl w:val="0"/>
        <w:kinsoku/>
        <w:wordWrap/>
        <w:overflowPunct/>
        <w:topLinePunct/>
        <w:autoSpaceDE w:val="0"/>
        <w:autoSpaceDN w:val="0"/>
        <w:bidi w:val="0"/>
        <w:adjustRightInd w:val="0"/>
        <w:snapToGrid w:val="0"/>
        <w:spacing w:line="594" w:lineRule="exact"/>
        <w:jc w:val="both"/>
        <w:textAlignment w:val="baseline"/>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附件</w:t>
      </w:r>
      <w:r>
        <w:rPr>
          <w:rFonts w:hint="default" w:ascii="Times New Roman" w:hAnsi="Times New Roman" w:eastAsia="方正黑体_GBK" w:cs="Times New Roman"/>
          <w:b w:val="0"/>
          <w:bCs w:val="0"/>
          <w:sz w:val="32"/>
          <w:szCs w:val="32"/>
        </w:rPr>
        <w:t>2</w:t>
      </w:r>
    </w:p>
    <w:p w14:paraId="614F9850">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default" w:ascii="Times New Roman" w:hAnsi="Times New Roman" w:eastAsia="方正仿宋_GBK" w:cs="Times New Roman"/>
          <w:b w:val="0"/>
          <w:bCs w:val="0"/>
          <w:sz w:val="32"/>
          <w:szCs w:val="32"/>
        </w:rPr>
      </w:pPr>
    </w:p>
    <w:p w14:paraId="37361856">
      <w:pPr>
        <w:keepNext w:val="0"/>
        <w:keepLines w:val="0"/>
        <w:pageBreakBefore w:val="0"/>
        <w:widowControl w:val="0"/>
        <w:kinsoku/>
        <w:wordWrap/>
        <w:overflowPunct/>
        <w:topLinePunct/>
        <w:autoSpaceDE w:val="0"/>
        <w:autoSpaceDN w:val="0"/>
        <w:bidi w:val="0"/>
        <w:adjustRightInd w:val="0"/>
        <w:snapToGrid w:val="0"/>
        <w:spacing w:line="594" w:lineRule="exact"/>
        <w:jc w:val="center"/>
        <w:textAlignment w:val="baseline"/>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lang w:eastAsia="zh-CN"/>
        </w:rPr>
        <w:t>重庆市</w:t>
      </w:r>
      <w:r>
        <w:rPr>
          <w:rFonts w:hint="eastAsia" w:ascii="方正小标宋_GBK" w:hAnsi="方正小标宋_GBK" w:eastAsia="方正小标宋_GBK" w:cs="方正小标宋_GBK"/>
          <w:b w:val="0"/>
          <w:bCs w:val="0"/>
          <w:sz w:val="44"/>
          <w:szCs w:val="44"/>
        </w:rPr>
        <w:t>结核病疫情地区分类标准和防治策略</w:t>
      </w:r>
    </w:p>
    <w:p w14:paraId="2F1141A2">
      <w:pPr>
        <w:keepNext w:val="0"/>
        <w:keepLines w:val="0"/>
        <w:pageBreakBefore w:val="0"/>
        <w:widowControl w:val="0"/>
        <w:kinsoku/>
        <w:wordWrap/>
        <w:overflowPunct/>
        <w:topLinePunct/>
        <w:autoSpaceDE w:val="0"/>
        <w:autoSpaceDN w:val="0"/>
        <w:bidi w:val="0"/>
        <w:adjustRightInd w:val="0"/>
        <w:snapToGrid w:val="0"/>
        <w:spacing w:line="594" w:lineRule="exact"/>
        <w:ind w:firstLine="880" w:firstLineChars="200"/>
        <w:jc w:val="both"/>
        <w:textAlignment w:val="baseline"/>
        <w:rPr>
          <w:rFonts w:hint="eastAsia" w:ascii="方正小标宋_GBK" w:hAnsi="方正小标宋_GBK" w:eastAsia="方正小标宋_GBK" w:cs="方正小标宋_GBK"/>
          <w:b w:val="0"/>
          <w:bCs w:val="0"/>
          <w:sz w:val="44"/>
          <w:szCs w:val="44"/>
        </w:rPr>
      </w:pPr>
    </w:p>
    <w:p w14:paraId="0AC565D4">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一、分类标准</w:t>
      </w:r>
    </w:p>
    <w:p w14:paraId="00D6D16A">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以2023年全市结核病报告发病率为基线，参考全国平均水平划分，2024</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2027年的划分标准如下：</w:t>
      </w:r>
    </w:p>
    <w:p w14:paraId="6D71E6D1">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default" w:ascii="Times New Roman" w:hAnsi="Times New Roman" w:eastAsia="方正仿宋_GBK" w:cs="Times New Roman"/>
          <w:b w:val="0"/>
          <w:bCs w:val="0"/>
          <w:color w:val="000000"/>
          <w:sz w:val="32"/>
          <w:szCs w:val="32"/>
        </w:rPr>
      </w:pPr>
      <w:r>
        <w:rPr>
          <w:rFonts w:hint="default" w:ascii="Times New Roman" w:hAnsi="Times New Roman" w:eastAsia="方正仿宋_GBK" w:cs="Times New Roman"/>
          <w:b w:val="0"/>
          <w:bCs w:val="0"/>
          <w:color w:val="000000"/>
          <w:sz w:val="32"/>
          <w:szCs w:val="32"/>
        </w:rPr>
        <w:t>区县级划分标准：报告发病率大于50/10万的区县为高疫情地区；报告发病率大于30/10万且小于50/10万的区县为中疫情地区；报告发病率小于30/10万的区县为低疫情地区。</w:t>
      </w:r>
    </w:p>
    <w:p w14:paraId="6AF8FF11">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乡镇（街道）划分标准：报告发病率大于70/10万的乡镇（街道）为高疫情乡镇（街道）；报告发病率大于30/10万且小于70/10万的乡镇（街道）为中疫情乡镇（街道）；报告发病率小于30/10万的乡镇（街道）为低疫情乡镇（街道）。</w:t>
      </w:r>
    </w:p>
    <w:p w14:paraId="0423ECC6">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二、防治策略</w:t>
      </w:r>
    </w:p>
    <w:p w14:paraId="6A6BB34D">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default" w:ascii="Times New Roman" w:hAnsi="Times New Roman" w:eastAsia="方正仿宋_GBK" w:cs="Times New Roman"/>
          <w:b w:val="0"/>
          <w:bCs w:val="0"/>
          <w:sz w:val="32"/>
          <w:szCs w:val="32"/>
        </w:rPr>
      </w:pPr>
      <w:r>
        <w:rPr>
          <w:rFonts w:hint="eastAsia" w:eastAsia="方正仿宋_GBK" w:cs="Times New Roman"/>
          <w:b w:val="0"/>
          <w:bCs w:val="0"/>
          <w:sz w:val="32"/>
          <w:szCs w:val="32"/>
          <w:lang w:val="en-US" w:eastAsia="zh-CN"/>
        </w:rPr>
        <w:t xml:space="preserve">1. </w:t>
      </w:r>
      <w:r>
        <w:rPr>
          <w:rFonts w:hint="default" w:ascii="Times New Roman" w:hAnsi="Times New Roman" w:eastAsia="方正仿宋_GBK" w:cs="Times New Roman"/>
          <w:b w:val="0"/>
          <w:bCs w:val="0"/>
          <w:sz w:val="32"/>
          <w:szCs w:val="32"/>
        </w:rPr>
        <w:t>高疫情地区。落实</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四早</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措施和规范患者管理，开展重点人群、重点场所结核病普查、传染期患者规范化隔离治疗、高风险人群预防性治疗干预等，控制结核病流行，促进疫情快速下降。</w:t>
      </w:r>
    </w:p>
    <w:p w14:paraId="669C70B1">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default" w:ascii="Times New Roman" w:hAnsi="Times New Roman" w:eastAsia="方正仿宋_GBK" w:cs="Times New Roman"/>
          <w:b w:val="0"/>
          <w:bCs w:val="0"/>
          <w:sz w:val="32"/>
          <w:szCs w:val="32"/>
        </w:rPr>
      </w:pPr>
      <w:r>
        <w:rPr>
          <w:rFonts w:hint="eastAsia" w:eastAsia="方正仿宋_GBK" w:cs="Times New Roman"/>
          <w:b w:val="0"/>
          <w:bCs w:val="0"/>
          <w:sz w:val="32"/>
          <w:szCs w:val="32"/>
          <w:lang w:val="en-US" w:eastAsia="zh-CN"/>
        </w:rPr>
        <w:t xml:space="preserve">2. </w:t>
      </w:r>
      <w:r>
        <w:rPr>
          <w:rFonts w:hint="default" w:ascii="Times New Roman" w:hAnsi="Times New Roman" w:eastAsia="方正仿宋_GBK" w:cs="Times New Roman"/>
          <w:b w:val="0"/>
          <w:bCs w:val="0"/>
          <w:sz w:val="32"/>
          <w:szCs w:val="32"/>
        </w:rPr>
        <w:t>中疫情地区。做好重点村（社区）/场所和重点人群防控，开展重点人群主动筛查、高风险人群预防性治疗干预等，控制结</w:t>
      </w:r>
    </w:p>
    <w:p w14:paraId="1D36ECF9">
      <w:pPr>
        <w:keepNext w:val="0"/>
        <w:keepLines w:val="0"/>
        <w:pageBreakBefore w:val="0"/>
        <w:widowControl w:val="0"/>
        <w:kinsoku/>
        <w:wordWrap/>
        <w:overflowPunct/>
        <w:topLinePunct/>
        <w:autoSpaceDE w:val="0"/>
        <w:autoSpaceDN w:val="0"/>
        <w:bidi w:val="0"/>
        <w:adjustRightInd w:val="0"/>
        <w:snapToGrid w:val="0"/>
        <w:spacing w:line="594" w:lineRule="exact"/>
        <w:ind w:firstLine="0" w:firstLineChars="0"/>
        <w:jc w:val="both"/>
        <w:textAlignment w:val="baseline"/>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核病传播，逐步过渡为低疫情地区。</w:t>
      </w:r>
    </w:p>
    <w:p w14:paraId="0A335C10">
      <w:pPr>
        <w:keepNext w:val="0"/>
        <w:keepLines w:val="0"/>
        <w:pageBreakBefore w:val="0"/>
        <w:widowControl w:val="0"/>
        <w:kinsoku/>
        <w:wordWrap/>
        <w:overflowPunct/>
        <w:topLinePunct/>
        <w:autoSpaceDE w:val="0"/>
        <w:autoSpaceDN w:val="0"/>
        <w:bidi w:val="0"/>
        <w:adjustRightInd w:val="0"/>
        <w:snapToGrid w:val="0"/>
        <w:spacing w:line="594" w:lineRule="exact"/>
        <w:ind w:firstLine="640" w:firstLineChars="200"/>
        <w:jc w:val="both"/>
        <w:textAlignment w:val="baseline"/>
        <w:rPr>
          <w:rFonts w:hint="default" w:ascii="Times New Roman" w:hAnsi="Times New Roman" w:eastAsia="方正仿宋_GBK" w:cs="Times New Roman"/>
          <w:b w:val="0"/>
          <w:bCs w:val="0"/>
          <w:sz w:val="32"/>
          <w:szCs w:val="32"/>
        </w:rPr>
      </w:pPr>
      <w:r>
        <w:rPr>
          <w:rFonts w:hint="eastAsia" w:eastAsia="方正仿宋_GBK" w:cs="Times New Roman"/>
          <w:b w:val="0"/>
          <w:bCs w:val="0"/>
          <w:sz w:val="32"/>
          <w:szCs w:val="32"/>
          <w:lang w:val="en-US" w:eastAsia="zh-CN"/>
        </w:rPr>
        <w:t xml:space="preserve">3. </w:t>
      </w:r>
      <w:r>
        <w:rPr>
          <w:rFonts w:hint="default" w:ascii="Times New Roman" w:hAnsi="Times New Roman" w:eastAsia="方正仿宋_GBK" w:cs="Times New Roman"/>
          <w:b w:val="0"/>
          <w:bCs w:val="0"/>
          <w:sz w:val="32"/>
          <w:szCs w:val="32"/>
        </w:rPr>
        <w:t>低疫情地区。开展患者个案流调和密切接触者追踪，扩大结核感染筛查和预防性治疗干预的人群范围，创建无结核社区/区县等，防止疫情反弹，逐步实现终结结核病流行。</w:t>
      </w:r>
    </w:p>
    <w:p w14:paraId="4A206744">
      <w:pPr>
        <w:keepNext w:val="0"/>
        <w:keepLines w:val="0"/>
        <w:pageBreakBefore w:val="0"/>
        <w:widowControl w:val="0"/>
        <w:kinsoku/>
        <w:wordWrap/>
        <w:overflowPunct/>
        <w:topLinePunct/>
        <w:autoSpaceDE w:val="0"/>
        <w:autoSpaceDN w:val="0"/>
        <w:bidi w:val="0"/>
        <w:adjustRightInd w:val="0"/>
        <w:snapToGrid w:val="0"/>
        <w:spacing w:line="594" w:lineRule="exact"/>
        <w:jc w:val="both"/>
        <w:textAlignment w:val="baseline"/>
        <w:rPr>
          <w:rFonts w:hint="default" w:ascii="Times New Roman" w:hAnsi="Times New Roman" w:eastAsia="方正仿宋_GBK" w:cs="Times New Roman"/>
          <w:b w:val="0"/>
          <w:bCs w:val="0"/>
          <w:sz w:val="32"/>
          <w:szCs w:val="32"/>
        </w:rPr>
      </w:pPr>
    </w:p>
    <w:p w14:paraId="7DC861C7">
      <w:pPr>
        <w:keepNext w:val="0"/>
        <w:keepLines w:val="0"/>
        <w:pageBreakBefore w:val="0"/>
        <w:widowControl w:val="0"/>
        <w:kinsoku/>
        <w:wordWrap/>
        <w:overflowPunct/>
        <w:topLinePunct/>
        <w:autoSpaceDE w:val="0"/>
        <w:autoSpaceDN w:val="0"/>
        <w:bidi w:val="0"/>
        <w:adjustRightInd w:val="0"/>
        <w:snapToGrid w:val="0"/>
        <w:spacing w:line="594" w:lineRule="exact"/>
        <w:jc w:val="both"/>
        <w:textAlignment w:val="baseline"/>
        <w:rPr>
          <w:rFonts w:hint="default" w:ascii="Times New Roman" w:hAnsi="Times New Roman" w:eastAsia="方正仿宋_GBK" w:cs="Times New Roman"/>
          <w:b w:val="0"/>
          <w:bCs w:val="0"/>
          <w:sz w:val="32"/>
          <w:szCs w:val="32"/>
        </w:rPr>
      </w:pPr>
    </w:p>
    <w:p w14:paraId="6D9D7431">
      <w:pPr>
        <w:pStyle w:val="3"/>
        <w:keepNext w:val="0"/>
        <w:keepLines w:val="0"/>
        <w:pageBreakBefore w:val="0"/>
        <w:widowControl w:val="0"/>
        <w:kinsoku/>
        <w:wordWrap/>
        <w:overflowPunct/>
        <w:bidi w:val="0"/>
        <w:spacing w:line="594" w:lineRule="exact"/>
        <w:jc w:val="both"/>
        <w:rPr>
          <w:rFonts w:eastAsia="方正仿宋_GBK"/>
          <w:b w:val="0"/>
          <w:bCs w:val="0"/>
          <w:color w:val="000000" w:themeColor="text1"/>
          <w:sz w:val="28"/>
          <w:szCs w:val="28"/>
          <w14:textFill>
            <w14:solidFill>
              <w14:schemeClr w14:val="tx1"/>
            </w14:solidFill>
          </w14:textFill>
        </w:rPr>
      </w:pPr>
    </w:p>
    <w:p w14:paraId="64E0233F">
      <w:pPr>
        <w:pStyle w:val="3"/>
        <w:keepNext w:val="0"/>
        <w:keepLines w:val="0"/>
        <w:pageBreakBefore w:val="0"/>
        <w:widowControl w:val="0"/>
        <w:kinsoku/>
        <w:wordWrap/>
        <w:overflowPunct/>
        <w:bidi w:val="0"/>
        <w:spacing w:line="594" w:lineRule="exact"/>
        <w:ind w:left="191" w:leftChars="91"/>
        <w:jc w:val="both"/>
        <w:rPr>
          <w:rFonts w:eastAsia="方正仿宋_GBK"/>
          <w:b w:val="0"/>
          <w:bCs w:val="0"/>
          <w:color w:val="000000" w:themeColor="text1"/>
          <w:sz w:val="28"/>
          <w:szCs w:val="28"/>
          <w14:textFill>
            <w14:solidFill>
              <w14:schemeClr w14:val="tx1"/>
            </w14:solidFill>
          </w14:textFill>
        </w:rPr>
      </w:pPr>
    </w:p>
    <w:p w14:paraId="7A37CFD0">
      <w:pPr>
        <w:pStyle w:val="3"/>
        <w:keepNext w:val="0"/>
        <w:keepLines w:val="0"/>
        <w:pageBreakBefore w:val="0"/>
        <w:widowControl w:val="0"/>
        <w:kinsoku/>
        <w:wordWrap/>
        <w:overflowPunct/>
        <w:bidi w:val="0"/>
        <w:spacing w:line="594" w:lineRule="exact"/>
        <w:ind w:left="191" w:leftChars="91"/>
        <w:jc w:val="both"/>
        <w:rPr>
          <w:rFonts w:eastAsia="方正仿宋_GBK"/>
          <w:b w:val="0"/>
          <w:bCs w:val="0"/>
          <w:color w:val="000000" w:themeColor="text1"/>
          <w:sz w:val="28"/>
          <w:szCs w:val="28"/>
          <w14:textFill>
            <w14:solidFill>
              <w14:schemeClr w14:val="tx1"/>
            </w14:solidFill>
          </w14:textFill>
        </w:rPr>
      </w:pPr>
    </w:p>
    <w:p w14:paraId="7744268B">
      <w:pPr>
        <w:pStyle w:val="3"/>
        <w:keepNext w:val="0"/>
        <w:keepLines w:val="0"/>
        <w:pageBreakBefore w:val="0"/>
        <w:widowControl w:val="0"/>
        <w:kinsoku/>
        <w:wordWrap/>
        <w:overflowPunct/>
        <w:bidi w:val="0"/>
        <w:spacing w:line="594" w:lineRule="exact"/>
        <w:ind w:left="191" w:leftChars="91"/>
        <w:jc w:val="both"/>
        <w:rPr>
          <w:rFonts w:eastAsia="方正仿宋_GBK"/>
          <w:b w:val="0"/>
          <w:bCs w:val="0"/>
          <w:color w:val="000000" w:themeColor="text1"/>
          <w:sz w:val="28"/>
          <w:szCs w:val="28"/>
          <w14:textFill>
            <w14:solidFill>
              <w14:schemeClr w14:val="tx1"/>
            </w14:solidFill>
          </w14:textFill>
        </w:rPr>
      </w:pPr>
    </w:p>
    <w:p w14:paraId="31DA0DEF">
      <w:pPr>
        <w:pStyle w:val="3"/>
        <w:keepNext w:val="0"/>
        <w:keepLines w:val="0"/>
        <w:pageBreakBefore w:val="0"/>
        <w:widowControl w:val="0"/>
        <w:kinsoku/>
        <w:wordWrap/>
        <w:overflowPunct/>
        <w:bidi w:val="0"/>
        <w:spacing w:line="594" w:lineRule="exact"/>
        <w:ind w:left="191" w:leftChars="91"/>
        <w:jc w:val="both"/>
        <w:rPr>
          <w:rFonts w:eastAsia="方正仿宋_GBK"/>
          <w:b w:val="0"/>
          <w:bCs w:val="0"/>
          <w:color w:val="000000" w:themeColor="text1"/>
          <w:sz w:val="28"/>
          <w:szCs w:val="28"/>
          <w14:textFill>
            <w14:solidFill>
              <w14:schemeClr w14:val="tx1"/>
            </w14:solidFill>
          </w14:textFill>
        </w:rPr>
      </w:pPr>
    </w:p>
    <w:p w14:paraId="440EEB77">
      <w:pPr>
        <w:pStyle w:val="3"/>
        <w:keepNext w:val="0"/>
        <w:keepLines w:val="0"/>
        <w:pageBreakBefore w:val="0"/>
        <w:widowControl w:val="0"/>
        <w:kinsoku/>
        <w:wordWrap/>
        <w:overflowPunct/>
        <w:bidi w:val="0"/>
        <w:spacing w:line="594" w:lineRule="exact"/>
        <w:ind w:left="191" w:leftChars="91"/>
        <w:jc w:val="both"/>
        <w:rPr>
          <w:rFonts w:eastAsia="方正仿宋_GBK"/>
          <w:b w:val="0"/>
          <w:bCs w:val="0"/>
          <w:color w:val="000000" w:themeColor="text1"/>
          <w:sz w:val="28"/>
          <w:szCs w:val="28"/>
          <w14:textFill>
            <w14:solidFill>
              <w14:schemeClr w14:val="tx1"/>
            </w14:solidFill>
          </w14:textFill>
        </w:rPr>
      </w:pPr>
    </w:p>
    <w:p w14:paraId="1CA19AF0">
      <w:pPr>
        <w:pStyle w:val="3"/>
        <w:keepNext w:val="0"/>
        <w:keepLines w:val="0"/>
        <w:pageBreakBefore w:val="0"/>
        <w:widowControl w:val="0"/>
        <w:kinsoku/>
        <w:wordWrap/>
        <w:overflowPunct/>
        <w:bidi w:val="0"/>
        <w:spacing w:line="594" w:lineRule="exact"/>
        <w:ind w:left="191" w:leftChars="91"/>
        <w:jc w:val="both"/>
        <w:rPr>
          <w:rFonts w:eastAsia="方正仿宋_GBK"/>
          <w:b w:val="0"/>
          <w:bCs w:val="0"/>
          <w:color w:val="000000" w:themeColor="text1"/>
          <w:sz w:val="28"/>
          <w:szCs w:val="28"/>
          <w14:textFill>
            <w14:solidFill>
              <w14:schemeClr w14:val="tx1"/>
            </w14:solidFill>
          </w14:textFill>
        </w:rPr>
      </w:pPr>
    </w:p>
    <w:p w14:paraId="0ABC1EAF">
      <w:pPr>
        <w:pStyle w:val="3"/>
        <w:keepNext w:val="0"/>
        <w:keepLines w:val="0"/>
        <w:pageBreakBefore w:val="0"/>
        <w:widowControl w:val="0"/>
        <w:kinsoku/>
        <w:wordWrap/>
        <w:overflowPunct/>
        <w:bidi w:val="0"/>
        <w:spacing w:line="594" w:lineRule="exact"/>
        <w:ind w:left="191" w:leftChars="91"/>
        <w:jc w:val="both"/>
        <w:rPr>
          <w:rFonts w:eastAsia="方正仿宋_GBK"/>
          <w:b w:val="0"/>
          <w:bCs w:val="0"/>
          <w:color w:val="000000" w:themeColor="text1"/>
          <w:sz w:val="28"/>
          <w:szCs w:val="28"/>
          <w14:textFill>
            <w14:solidFill>
              <w14:schemeClr w14:val="tx1"/>
            </w14:solidFill>
          </w14:textFill>
        </w:rPr>
      </w:pPr>
    </w:p>
    <w:p w14:paraId="776C6B3A">
      <w:pPr>
        <w:pStyle w:val="3"/>
        <w:keepNext w:val="0"/>
        <w:keepLines w:val="0"/>
        <w:pageBreakBefore w:val="0"/>
        <w:widowControl w:val="0"/>
        <w:kinsoku/>
        <w:wordWrap/>
        <w:overflowPunct/>
        <w:bidi w:val="0"/>
        <w:spacing w:line="594" w:lineRule="exact"/>
        <w:ind w:left="191" w:leftChars="91"/>
        <w:jc w:val="both"/>
        <w:rPr>
          <w:rFonts w:hint="eastAsia" w:eastAsia="方正仿宋_GBK"/>
          <w:b w:val="0"/>
          <w:bCs w:val="0"/>
          <w:color w:val="000000" w:themeColor="text1"/>
          <w:sz w:val="28"/>
          <w:szCs w:val="28"/>
          <w:lang w:val="en-US" w:eastAsia="zh-CN"/>
          <w14:textFill>
            <w14:solidFill>
              <w14:schemeClr w14:val="tx1"/>
            </w14:solidFill>
          </w14:textFill>
        </w:rPr>
      </w:pPr>
    </w:p>
    <w:p w14:paraId="3792EB75">
      <w:pPr>
        <w:pStyle w:val="3"/>
        <w:keepNext w:val="0"/>
        <w:keepLines w:val="0"/>
        <w:pageBreakBefore w:val="0"/>
        <w:widowControl w:val="0"/>
        <w:kinsoku/>
        <w:wordWrap/>
        <w:overflowPunct/>
        <w:bidi w:val="0"/>
        <w:spacing w:line="594" w:lineRule="exact"/>
        <w:jc w:val="both"/>
        <w:rPr>
          <w:rFonts w:hint="eastAsia" w:eastAsia="方正仿宋_GBK"/>
          <w:b w:val="0"/>
          <w:bCs w:val="0"/>
          <w:color w:val="000000" w:themeColor="text1"/>
          <w:sz w:val="28"/>
          <w:szCs w:val="28"/>
          <w:lang w:val="en-US" w:eastAsia="zh-CN"/>
          <w14:textFill>
            <w14:solidFill>
              <w14:schemeClr w14:val="tx1"/>
            </w14:solidFill>
          </w14:textFill>
        </w:rPr>
      </w:pPr>
    </w:p>
    <w:p w14:paraId="7FC9EB61">
      <w:pPr>
        <w:pStyle w:val="3"/>
        <w:keepNext w:val="0"/>
        <w:keepLines w:val="0"/>
        <w:pageBreakBefore w:val="0"/>
        <w:widowControl w:val="0"/>
        <w:kinsoku/>
        <w:wordWrap/>
        <w:overflowPunct/>
        <w:bidi w:val="0"/>
        <w:spacing w:line="594" w:lineRule="exact"/>
        <w:jc w:val="both"/>
        <w:rPr>
          <w:rFonts w:hint="eastAsia" w:eastAsia="方正仿宋_GBK"/>
          <w:b w:val="0"/>
          <w:bCs w:val="0"/>
          <w:color w:val="000000" w:themeColor="text1"/>
          <w:sz w:val="28"/>
          <w:szCs w:val="28"/>
          <w:lang w:val="en-US" w:eastAsia="zh-CN"/>
          <w14:textFill>
            <w14:solidFill>
              <w14:schemeClr w14:val="tx1"/>
            </w14:solidFill>
          </w14:textFill>
        </w:rPr>
      </w:pPr>
    </w:p>
    <w:p w14:paraId="0A80BCE3">
      <w:pPr>
        <w:pStyle w:val="3"/>
        <w:keepNext w:val="0"/>
        <w:keepLines w:val="0"/>
        <w:pageBreakBefore w:val="0"/>
        <w:widowControl w:val="0"/>
        <w:kinsoku/>
        <w:wordWrap/>
        <w:overflowPunct/>
        <w:bidi w:val="0"/>
        <w:spacing w:line="594" w:lineRule="exact"/>
        <w:jc w:val="both"/>
        <w:rPr>
          <w:rFonts w:hint="eastAsia" w:eastAsia="方正仿宋_GBK"/>
          <w:b w:val="0"/>
          <w:bCs w:val="0"/>
          <w:color w:val="000000" w:themeColor="text1"/>
          <w:sz w:val="28"/>
          <w:szCs w:val="28"/>
          <w:lang w:val="en-US" w:eastAsia="zh-CN"/>
          <w14:textFill>
            <w14:solidFill>
              <w14:schemeClr w14:val="tx1"/>
            </w14:solidFill>
          </w14:textFill>
        </w:rPr>
      </w:pPr>
    </w:p>
    <w:p w14:paraId="192F043A">
      <w:pPr>
        <w:pStyle w:val="3"/>
        <w:keepNext w:val="0"/>
        <w:keepLines w:val="0"/>
        <w:pageBreakBefore w:val="0"/>
        <w:widowControl w:val="0"/>
        <w:kinsoku/>
        <w:wordWrap/>
        <w:overflowPunct/>
        <w:bidi w:val="0"/>
        <w:spacing w:line="594" w:lineRule="exact"/>
        <w:jc w:val="both"/>
        <w:rPr>
          <w:rFonts w:hint="eastAsia" w:eastAsia="方正仿宋_GBK"/>
          <w:b w:val="0"/>
          <w:bCs w:val="0"/>
          <w:color w:val="000000" w:themeColor="text1"/>
          <w:sz w:val="28"/>
          <w:szCs w:val="28"/>
          <w:lang w:val="en-US" w:eastAsia="zh-CN"/>
          <w14:textFill>
            <w14:solidFill>
              <w14:schemeClr w14:val="tx1"/>
            </w14:solidFill>
          </w14:textFill>
        </w:rPr>
      </w:pPr>
    </w:p>
    <w:p w14:paraId="6C674DF5">
      <w:pPr>
        <w:pStyle w:val="3"/>
        <w:keepNext w:val="0"/>
        <w:keepLines w:val="0"/>
        <w:pageBreakBefore w:val="0"/>
        <w:widowControl w:val="0"/>
        <w:kinsoku/>
        <w:wordWrap/>
        <w:overflowPunct/>
        <w:bidi w:val="0"/>
        <w:spacing w:line="594" w:lineRule="exact"/>
        <w:jc w:val="both"/>
        <w:rPr>
          <w:rFonts w:hint="eastAsia" w:eastAsia="方正仿宋_GBK"/>
          <w:b w:val="0"/>
          <w:bCs w:val="0"/>
          <w:color w:val="000000" w:themeColor="text1"/>
          <w:sz w:val="28"/>
          <w:szCs w:val="28"/>
          <w:lang w:val="en-US" w:eastAsia="zh-CN"/>
          <w14:textFill>
            <w14:solidFill>
              <w14:schemeClr w14:val="tx1"/>
            </w14:solidFill>
          </w14:textFill>
        </w:rPr>
      </w:pPr>
    </w:p>
    <w:p w14:paraId="2BDF5461">
      <w:pPr>
        <w:pStyle w:val="3"/>
        <w:keepNext w:val="0"/>
        <w:keepLines w:val="0"/>
        <w:pageBreakBefore w:val="0"/>
        <w:widowControl w:val="0"/>
        <w:kinsoku/>
        <w:wordWrap/>
        <w:overflowPunct/>
        <w:bidi w:val="0"/>
        <w:spacing w:line="594" w:lineRule="exact"/>
        <w:jc w:val="both"/>
        <w:rPr>
          <w:rFonts w:hint="eastAsia" w:eastAsia="方正仿宋_GBK"/>
          <w:b w:val="0"/>
          <w:bCs w:val="0"/>
          <w:color w:val="000000" w:themeColor="text1"/>
          <w:sz w:val="28"/>
          <w:szCs w:val="28"/>
          <w:lang w:val="en-US" w:eastAsia="zh-CN"/>
          <w14:textFill>
            <w14:solidFill>
              <w14:schemeClr w14:val="tx1"/>
            </w14:solidFill>
          </w14:textFill>
        </w:rPr>
      </w:pPr>
    </w:p>
    <w:p w14:paraId="4303CECB">
      <w:pPr>
        <w:pStyle w:val="3"/>
        <w:keepNext w:val="0"/>
        <w:keepLines w:val="0"/>
        <w:pageBreakBefore w:val="0"/>
        <w:widowControl w:val="0"/>
        <w:kinsoku/>
        <w:wordWrap/>
        <w:overflowPunct/>
        <w:bidi w:val="0"/>
        <w:spacing w:line="594" w:lineRule="exact"/>
        <w:jc w:val="both"/>
        <w:rPr>
          <w:rFonts w:hint="eastAsia" w:eastAsia="方正仿宋_GBK"/>
          <w:b w:val="0"/>
          <w:bCs w:val="0"/>
          <w:color w:val="000000" w:themeColor="text1"/>
          <w:sz w:val="28"/>
          <w:szCs w:val="28"/>
          <w:lang w:val="en-US" w:eastAsia="zh-CN"/>
          <w14:textFill>
            <w14:solidFill>
              <w14:schemeClr w14:val="tx1"/>
            </w14:solidFill>
          </w14:textFill>
        </w:rPr>
      </w:pPr>
    </w:p>
    <w:p w14:paraId="1303F70D">
      <w:pPr>
        <w:pStyle w:val="3"/>
        <w:keepNext w:val="0"/>
        <w:keepLines w:val="0"/>
        <w:pageBreakBefore w:val="0"/>
        <w:widowControl w:val="0"/>
        <w:kinsoku/>
        <w:wordWrap/>
        <w:overflowPunct/>
        <w:bidi w:val="0"/>
        <w:spacing w:line="594" w:lineRule="exact"/>
        <w:jc w:val="both"/>
        <w:rPr>
          <w:rFonts w:hint="eastAsia" w:eastAsia="方正仿宋_GBK"/>
          <w:b w:val="0"/>
          <w:bCs w:val="0"/>
          <w:color w:val="000000" w:themeColor="text1"/>
          <w:sz w:val="28"/>
          <w:szCs w:val="28"/>
          <w:lang w:val="en-US" w:eastAsia="zh-CN"/>
          <w14:textFill>
            <w14:solidFill>
              <w14:schemeClr w14:val="tx1"/>
            </w14:solidFill>
          </w14:textFill>
        </w:rPr>
      </w:pPr>
    </w:p>
    <w:p w14:paraId="7F8D73D5">
      <w:pPr>
        <w:pStyle w:val="3"/>
        <w:keepNext w:val="0"/>
        <w:keepLines w:val="0"/>
        <w:pageBreakBefore w:val="0"/>
        <w:widowControl w:val="0"/>
        <w:kinsoku/>
        <w:wordWrap/>
        <w:overflowPunct/>
        <w:bidi w:val="0"/>
        <w:spacing w:line="594" w:lineRule="exact"/>
        <w:jc w:val="both"/>
        <w:rPr>
          <w:rFonts w:hint="eastAsia" w:eastAsia="方正仿宋_GBK"/>
          <w:b w:val="0"/>
          <w:bCs w:val="0"/>
          <w:color w:val="000000" w:themeColor="text1"/>
          <w:sz w:val="28"/>
          <w:szCs w:val="28"/>
          <w:lang w:val="en-US" w:eastAsia="zh-CN"/>
          <w14:textFill>
            <w14:solidFill>
              <w14:schemeClr w14:val="tx1"/>
            </w14:solidFill>
          </w14:textFill>
        </w:rPr>
      </w:pPr>
    </w:p>
    <w:p w14:paraId="0E6D7F80">
      <w:pPr>
        <w:pStyle w:val="3"/>
        <w:keepNext w:val="0"/>
        <w:keepLines w:val="0"/>
        <w:pageBreakBefore w:val="0"/>
        <w:widowControl w:val="0"/>
        <w:kinsoku/>
        <w:wordWrap/>
        <w:overflowPunct/>
        <w:bidi w:val="0"/>
        <w:spacing w:line="594" w:lineRule="exact"/>
        <w:jc w:val="both"/>
        <w:rPr>
          <w:rFonts w:hint="eastAsia" w:eastAsia="方正仿宋_GBK"/>
          <w:b w:val="0"/>
          <w:bCs w:val="0"/>
          <w:color w:val="000000" w:themeColor="text1"/>
          <w:sz w:val="28"/>
          <w:szCs w:val="28"/>
          <w:lang w:val="en-US" w:eastAsia="zh-CN"/>
          <w14:textFill>
            <w14:solidFill>
              <w14:schemeClr w14:val="tx1"/>
            </w14:solidFill>
          </w14:textFill>
        </w:rPr>
      </w:pPr>
    </w:p>
    <w:p w14:paraId="05E56E37">
      <w:pPr>
        <w:pStyle w:val="3"/>
        <w:keepNext w:val="0"/>
        <w:keepLines w:val="0"/>
        <w:pageBreakBefore w:val="0"/>
        <w:widowControl w:val="0"/>
        <w:kinsoku/>
        <w:wordWrap/>
        <w:overflowPunct/>
        <w:bidi w:val="0"/>
        <w:spacing w:line="594" w:lineRule="exact"/>
        <w:jc w:val="both"/>
        <w:rPr>
          <w:rFonts w:hint="eastAsia" w:eastAsia="方正仿宋_GBK"/>
          <w:b w:val="0"/>
          <w:bCs w:val="0"/>
          <w:color w:val="000000" w:themeColor="text1"/>
          <w:sz w:val="28"/>
          <w:szCs w:val="28"/>
          <w:lang w:val="en-US" w:eastAsia="zh-CN"/>
          <w14:textFill>
            <w14:solidFill>
              <w14:schemeClr w14:val="tx1"/>
            </w14:solidFill>
          </w14:textFill>
        </w:rPr>
      </w:pPr>
    </w:p>
    <w:p w14:paraId="23265FF6">
      <w:pPr>
        <w:pStyle w:val="3"/>
        <w:keepNext w:val="0"/>
        <w:keepLines w:val="0"/>
        <w:pageBreakBefore w:val="0"/>
        <w:widowControl w:val="0"/>
        <w:kinsoku/>
        <w:wordWrap/>
        <w:overflowPunct/>
        <w:bidi w:val="0"/>
        <w:spacing w:line="594" w:lineRule="exact"/>
        <w:jc w:val="both"/>
        <w:rPr>
          <w:rFonts w:hint="eastAsia" w:eastAsia="方正仿宋_GBK"/>
          <w:b w:val="0"/>
          <w:bCs w:val="0"/>
          <w:color w:val="000000" w:themeColor="text1"/>
          <w:sz w:val="28"/>
          <w:szCs w:val="28"/>
          <w:lang w:val="en-US" w:eastAsia="zh-CN"/>
          <w14:textFill>
            <w14:solidFill>
              <w14:schemeClr w14:val="tx1"/>
            </w14:solidFill>
          </w14:textFill>
        </w:rPr>
      </w:pPr>
    </w:p>
    <w:p w14:paraId="5E2F984E">
      <w:pPr>
        <w:pStyle w:val="3"/>
        <w:keepNext w:val="0"/>
        <w:keepLines w:val="0"/>
        <w:pageBreakBefore w:val="0"/>
        <w:widowControl w:val="0"/>
        <w:kinsoku/>
        <w:wordWrap/>
        <w:overflowPunct/>
        <w:topLinePunct w:val="0"/>
        <w:autoSpaceDE/>
        <w:autoSpaceDN/>
        <w:bidi w:val="0"/>
        <w:adjustRightInd/>
        <w:snapToGrid w:val="0"/>
        <w:spacing w:line="610" w:lineRule="exact"/>
        <w:jc w:val="both"/>
        <w:textAlignment w:val="auto"/>
        <w:rPr>
          <w:rFonts w:hint="eastAsia" w:eastAsia="方正仿宋_GBK"/>
          <w:b w:val="0"/>
          <w:bCs w:val="0"/>
          <w:color w:val="000000" w:themeColor="text1"/>
          <w:sz w:val="28"/>
          <w:szCs w:val="28"/>
          <w:lang w:val="en-US" w:eastAsia="zh-CN"/>
          <w14:textFill>
            <w14:solidFill>
              <w14:schemeClr w14:val="tx1"/>
            </w14:solidFill>
          </w14:textFill>
        </w:rPr>
      </w:pPr>
    </w:p>
    <w:p w14:paraId="7AF7BD5B">
      <w:pPr>
        <w:pStyle w:val="3"/>
        <w:keepNext w:val="0"/>
        <w:keepLines w:val="0"/>
        <w:pageBreakBefore w:val="0"/>
        <w:widowControl w:val="0"/>
        <w:kinsoku/>
        <w:wordWrap/>
        <w:overflowPunct/>
        <w:topLinePunct w:val="0"/>
        <w:autoSpaceDE/>
        <w:autoSpaceDN/>
        <w:bidi w:val="0"/>
        <w:adjustRightInd/>
        <w:snapToGrid w:val="0"/>
        <w:spacing w:line="610" w:lineRule="exact"/>
        <w:jc w:val="both"/>
        <w:textAlignment w:val="auto"/>
        <w:rPr>
          <w:rFonts w:hint="eastAsia" w:eastAsia="方正仿宋_GBK"/>
          <w:b w:val="0"/>
          <w:bCs w:val="0"/>
          <w:color w:val="000000" w:themeColor="text1"/>
          <w:sz w:val="28"/>
          <w:szCs w:val="28"/>
          <w:lang w:val="en-US" w:eastAsia="zh-CN"/>
          <w14:textFill>
            <w14:solidFill>
              <w14:schemeClr w14:val="tx1"/>
            </w14:solidFill>
          </w14:textFill>
        </w:rPr>
      </w:pPr>
    </w:p>
    <w:p w14:paraId="41D277A7">
      <w:pPr>
        <w:pStyle w:val="3"/>
        <w:keepNext w:val="0"/>
        <w:keepLines w:val="0"/>
        <w:pageBreakBefore w:val="0"/>
        <w:widowControl w:val="0"/>
        <w:kinsoku/>
        <w:wordWrap/>
        <w:overflowPunct/>
        <w:topLinePunct w:val="0"/>
        <w:autoSpaceDE/>
        <w:autoSpaceDN/>
        <w:bidi w:val="0"/>
        <w:adjustRightInd/>
        <w:snapToGrid w:val="0"/>
        <w:spacing w:line="610" w:lineRule="exact"/>
        <w:jc w:val="both"/>
        <w:textAlignment w:val="auto"/>
        <w:rPr>
          <w:rFonts w:hint="eastAsia" w:eastAsia="方正仿宋_GBK"/>
          <w:b w:val="0"/>
          <w:bCs w:val="0"/>
          <w:color w:val="000000" w:themeColor="text1"/>
          <w:sz w:val="28"/>
          <w:szCs w:val="28"/>
          <w:lang w:val="en-US" w:eastAsia="zh-CN"/>
          <w14:textFill>
            <w14:solidFill>
              <w14:schemeClr w14:val="tx1"/>
            </w14:solidFill>
          </w14:textFill>
        </w:rPr>
      </w:pPr>
    </w:p>
    <w:p w14:paraId="7548D17E">
      <w:pPr>
        <w:pStyle w:val="3"/>
        <w:keepNext w:val="0"/>
        <w:keepLines w:val="0"/>
        <w:pageBreakBefore w:val="0"/>
        <w:widowControl w:val="0"/>
        <w:kinsoku/>
        <w:wordWrap/>
        <w:overflowPunct/>
        <w:topLinePunct w:val="0"/>
        <w:autoSpaceDE/>
        <w:autoSpaceDN/>
        <w:bidi w:val="0"/>
        <w:adjustRightInd/>
        <w:snapToGrid w:val="0"/>
        <w:spacing w:line="610" w:lineRule="exact"/>
        <w:jc w:val="both"/>
        <w:textAlignment w:val="auto"/>
        <w:rPr>
          <w:rFonts w:hint="eastAsia" w:eastAsia="方正仿宋_GBK"/>
          <w:b w:val="0"/>
          <w:bCs w:val="0"/>
          <w:color w:val="000000" w:themeColor="text1"/>
          <w:sz w:val="28"/>
          <w:szCs w:val="28"/>
          <w:lang w:val="en-US" w:eastAsia="zh-CN"/>
          <w14:textFill>
            <w14:solidFill>
              <w14:schemeClr w14:val="tx1"/>
            </w14:solidFill>
          </w14:textFill>
        </w:rPr>
      </w:pPr>
    </w:p>
    <w:p w14:paraId="205C54DF">
      <w:pPr>
        <w:pStyle w:val="3"/>
        <w:keepNext w:val="0"/>
        <w:keepLines w:val="0"/>
        <w:pageBreakBefore w:val="0"/>
        <w:widowControl w:val="0"/>
        <w:kinsoku/>
        <w:wordWrap/>
        <w:overflowPunct/>
        <w:topLinePunct w:val="0"/>
        <w:autoSpaceDE/>
        <w:autoSpaceDN/>
        <w:bidi w:val="0"/>
        <w:adjustRightInd/>
        <w:snapToGrid w:val="0"/>
        <w:spacing w:line="610" w:lineRule="exact"/>
        <w:jc w:val="both"/>
        <w:textAlignment w:val="auto"/>
        <w:rPr>
          <w:rFonts w:hint="eastAsia" w:eastAsia="方正仿宋_GBK"/>
          <w:b w:val="0"/>
          <w:bCs w:val="0"/>
          <w:color w:val="000000" w:themeColor="text1"/>
          <w:sz w:val="28"/>
          <w:szCs w:val="28"/>
          <w:lang w:val="en-US" w:eastAsia="zh-CN"/>
          <w14:textFill>
            <w14:solidFill>
              <w14:schemeClr w14:val="tx1"/>
            </w14:solidFill>
          </w14:textFill>
        </w:rPr>
      </w:pPr>
    </w:p>
    <w:p w14:paraId="0AAA6729">
      <w:pPr>
        <w:pStyle w:val="3"/>
        <w:keepNext w:val="0"/>
        <w:keepLines w:val="0"/>
        <w:pageBreakBefore w:val="0"/>
        <w:widowControl w:val="0"/>
        <w:kinsoku/>
        <w:wordWrap/>
        <w:overflowPunct/>
        <w:topLinePunct w:val="0"/>
        <w:autoSpaceDE/>
        <w:autoSpaceDN/>
        <w:bidi w:val="0"/>
        <w:adjustRightInd/>
        <w:snapToGrid w:val="0"/>
        <w:spacing w:line="610" w:lineRule="exact"/>
        <w:jc w:val="both"/>
        <w:textAlignment w:val="auto"/>
        <w:rPr>
          <w:rFonts w:hint="eastAsia" w:eastAsia="方正仿宋_GBK"/>
          <w:b w:val="0"/>
          <w:bCs w:val="0"/>
          <w:color w:val="000000" w:themeColor="text1"/>
          <w:sz w:val="28"/>
          <w:szCs w:val="28"/>
          <w:lang w:val="en-US" w:eastAsia="zh-CN"/>
          <w14:textFill>
            <w14:solidFill>
              <w14:schemeClr w14:val="tx1"/>
            </w14:solidFill>
          </w14:textFill>
        </w:rPr>
      </w:pPr>
    </w:p>
    <w:p w14:paraId="00982D72">
      <w:pPr>
        <w:pStyle w:val="3"/>
        <w:keepNext w:val="0"/>
        <w:keepLines w:val="0"/>
        <w:pageBreakBefore w:val="0"/>
        <w:widowControl w:val="0"/>
        <w:kinsoku/>
        <w:wordWrap/>
        <w:overflowPunct/>
        <w:topLinePunct w:val="0"/>
        <w:autoSpaceDE/>
        <w:autoSpaceDN/>
        <w:bidi w:val="0"/>
        <w:adjustRightInd/>
        <w:snapToGrid w:val="0"/>
        <w:spacing w:line="610" w:lineRule="exact"/>
        <w:jc w:val="both"/>
        <w:textAlignment w:val="auto"/>
        <w:rPr>
          <w:rFonts w:hint="eastAsia" w:eastAsia="方正仿宋_GBK"/>
          <w:b w:val="0"/>
          <w:bCs w:val="0"/>
          <w:color w:val="000000" w:themeColor="text1"/>
          <w:sz w:val="28"/>
          <w:szCs w:val="28"/>
          <w:lang w:val="en-US" w:eastAsia="zh-CN"/>
          <w14:textFill>
            <w14:solidFill>
              <w14:schemeClr w14:val="tx1"/>
            </w14:solidFill>
          </w14:textFill>
        </w:rPr>
      </w:pPr>
    </w:p>
    <w:p w14:paraId="635ABE55">
      <w:pPr>
        <w:pStyle w:val="3"/>
        <w:keepNext w:val="0"/>
        <w:keepLines w:val="0"/>
        <w:pageBreakBefore w:val="0"/>
        <w:widowControl w:val="0"/>
        <w:kinsoku/>
        <w:wordWrap/>
        <w:overflowPunct/>
        <w:topLinePunct w:val="0"/>
        <w:autoSpaceDE/>
        <w:autoSpaceDN/>
        <w:bidi w:val="0"/>
        <w:adjustRightInd/>
        <w:snapToGrid w:val="0"/>
        <w:spacing w:line="610" w:lineRule="exact"/>
        <w:jc w:val="both"/>
        <w:textAlignment w:val="auto"/>
        <w:rPr>
          <w:rFonts w:hint="eastAsia" w:eastAsia="方正仿宋_GBK"/>
          <w:b w:val="0"/>
          <w:bCs w:val="0"/>
          <w:color w:val="000000" w:themeColor="text1"/>
          <w:sz w:val="28"/>
          <w:szCs w:val="28"/>
          <w:lang w:val="en-US" w:eastAsia="zh-CN"/>
          <w14:textFill>
            <w14:solidFill>
              <w14:schemeClr w14:val="tx1"/>
            </w14:solidFill>
          </w14:textFill>
        </w:rPr>
      </w:pPr>
    </w:p>
    <w:p w14:paraId="7DAD9336">
      <w:pPr>
        <w:pStyle w:val="3"/>
        <w:keepNext w:val="0"/>
        <w:keepLines w:val="0"/>
        <w:pageBreakBefore w:val="0"/>
        <w:widowControl w:val="0"/>
        <w:kinsoku/>
        <w:wordWrap/>
        <w:overflowPunct/>
        <w:topLinePunct w:val="0"/>
        <w:autoSpaceDE/>
        <w:autoSpaceDN/>
        <w:bidi w:val="0"/>
        <w:adjustRightInd/>
        <w:snapToGrid w:val="0"/>
        <w:spacing w:line="610" w:lineRule="exact"/>
        <w:jc w:val="both"/>
        <w:textAlignment w:val="auto"/>
        <w:rPr>
          <w:rFonts w:hint="eastAsia" w:eastAsia="方正仿宋_GBK"/>
          <w:b w:val="0"/>
          <w:bCs w:val="0"/>
          <w:color w:val="000000" w:themeColor="text1"/>
          <w:sz w:val="28"/>
          <w:szCs w:val="28"/>
          <w:lang w:val="en-US" w:eastAsia="zh-CN"/>
          <w14:textFill>
            <w14:solidFill>
              <w14:schemeClr w14:val="tx1"/>
            </w14:solidFill>
          </w14:textFill>
        </w:rPr>
      </w:pPr>
    </w:p>
    <w:p w14:paraId="3EE6E4E6">
      <w:pPr>
        <w:pStyle w:val="3"/>
        <w:keepNext w:val="0"/>
        <w:keepLines w:val="0"/>
        <w:pageBreakBefore w:val="0"/>
        <w:widowControl w:val="0"/>
        <w:kinsoku/>
        <w:wordWrap/>
        <w:overflowPunct/>
        <w:topLinePunct w:val="0"/>
        <w:autoSpaceDE/>
        <w:autoSpaceDN/>
        <w:bidi w:val="0"/>
        <w:adjustRightInd/>
        <w:snapToGrid w:val="0"/>
        <w:spacing w:line="610" w:lineRule="exact"/>
        <w:jc w:val="both"/>
        <w:textAlignment w:val="auto"/>
        <w:rPr>
          <w:rFonts w:hint="eastAsia" w:eastAsia="方正仿宋_GBK"/>
          <w:b w:val="0"/>
          <w:bCs w:val="0"/>
          <w:color w:val="000000" w:themeColor="text1"/>
          <w:sz w:val="28"/>
          <w:szCs w:val="28"/>
          <w:lang w:val="en-US" w:eastAsia="zh-CN"/>
          <w14:textFill>
            <w14:solidFill>
              <w14:schemeClr w14:val="tx1"/>
            </w14:solidFill>
          </w14:textFill>
        </w:rPr>
      </w:pPr>
    </w:p>
    <w:p w14:paraId="1D354CC1">
      <w:pPr>
        <w:pStyle w:val="3"/>
        <w:keepNext w:val="0"/>
        <w:keepLines w:val="0"/>
        <w:pageBreakBefore w:val="0"/>
        <w:widowControl w:val="0"/>
        <w:kinsoku/>
        <w:wordWrap/>
        <w:overflowPunct/>
        <w:topLinePunct w:val="0"/>
        <w:autoSpaceDE/>
        <w:autoSpaceDN/>
        <w:bidi w:val="0"/>
        <w:adjustRightInd/>
        <w:snapToGrid w:val="0"/>
        <w:spacing w:line="610" w:lineRule="exact"/>
        <w:ind w:left="191" w:leftChars="91"/>
        <w:jc w:val="both"/>
        <w:textAlignment w:val="auto"/>
        <w:rPr>
          <w:rFonts w:eastAsia="方正仿宋_GBK"/>
          <w:b w:val="0"/>
          <w:bCs w:val="0"/>
          <w:color w:val="000000" w:themeColor="text1"/>
          <w:sz w:val="28"/>
          <w:szCs w:val="28"/>
          <w14:textFill>
            <w14:solidFill>
              <w14:schemeClr w14:val="tx1"/>
            </w14:solidFill>
          </w14:textFill>
        </w:rPr>
      </w:pPr>
    </w:p>
    <w:p w14:paraId="59554A46">
      <w:pPr>
        <w:pStyle w:val="3"/>
        <w:keepNext w:val="0"/>
        <w:keepLines w:val="0"/>
        <w:pageBreakBefore w:val="0"/>
        <w:widowControl w:val="0"/>
        <w:kinsoku/>
        <w:wordWrap/>
        <w:overflowPunct/>
        <w:topLinePunct w:val="0"/>
        <w:autoSpaceDE/>
        <w:autoSpaceDN/>
        <w:bidi w:val="0"/>
        <w:adjustRightInd/>
        <w:snapToGrid w:val="0"/>
        <w:spacing w:line="610" w:lineRule="exact"/>
        <w:ind w:left="191" w:leftChars="91"/>
        <w:jc w:val="both"/>
        <w:textAlignment w:val="auto"/>
        <w:rPr>
          <w:rFonts w:eastAsia="方正仿宋_GBK"/>
          <w:b w:val="0"/>
          <w:bCs w:val="0"/>
          <w:color w:val="000000" w:themeColor="text1"/>
          <w:sz w:val="28"/>
          <w:szCs w:val="28"/>
          <w14:textFill>
            <w14:solidFill>
              <w14:schemeClr w14:val="tx1"/>
            </w14:solidFill>
          </w14:textFill>
        </w:rPr>
      </w:pPr>
    </w:p>
    <w:p w14:paraId="47D64931">
      <w:pPr>
        <w:keepNext w:val="0"/>
        <w:keepLines w:val="0"/>
        <w:pageBreakBefore w:val="0"/>
        <w:widowControl w:val="0"/>
        <w:kinsoku/>
        <w:wordWrap/>
        <w:overflowPunct/>
        <w:bidi w:val="0"/>
        <w:spacing w:line="594" w:lineRule="exact"/>
        <w:ind w:left="1159" w:leftChars="152" w:hanging="840" w:hangingChars="300"/>
        <w:rPr>
          <w:rFonts w:eastAsia="方正仿宋_GBK"/>
          <w:b w:val="0"/>
          <w:bCs w:val="0"/>
          <w:color w:val="000000" w:themeColor="text1"/>
          <w:sz w:val="28"/>
          <w:szCs w:val="28"/>
          <w14:textFill>
            <w14:solidFill>
              <w14:schemeClr w14:val="tx1"/>
            </w14:solidFill>
          </w14:textFill>
        </w:rPr>
      </w:pPr>
      <w:r>
        <w:rPr>
          <w:rFonts w:eastAsia="方正仿宋_GBK"/>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51435</wp:posOffset>
                </wp:positionV>
                <wp:extent cx="560070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00700" cy="63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4.05pt;height:0.05pt;width:441pt;z-index:251660288;mso-width-relative:page;mso-height-relative:page;" filled="f" stroked="t" coordsize="21600,21600" o:gfxdata="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fFM1/UAAAABAEAAA8AAAAAAAAAAQAgAAAAIgAAAGRycy9kb3ducmV2LnhtbFBL&#10;AQIUABQAAAAIAIdO4kD8/q32+gEAAPUDAAAOAAAAAAAAAAEAIAAAACMBAABkcnMvZTJvRG9jLnht&#10;bFBLBQYAAAAABgAGAFkBAACPBQAAAAA=&#10;">
                <v:fill on="f" focussize="0,0"/>
                <v:stroke weight="1.25pt" color="#000000" joinstyle="round"/>
                <v:imagedata o:title=""/>
                <o:lock v:ext="edit" aspectratio="f"/>
              </v:line>
            </w:pict>
          </mc:Fallback>
        </mc:AlternateContent>
      </w:r>
      <w:r>
        <w:rPr>
          <w:rFonts w:eastAsia="方正仿宋_GBK"/>
          <w:b w:val="0"/>
          <w:bCs w:val="0"/>
          <w:color w:val="000000" w:themeColor="text1"/>
          <w:sz w:val="28"/>
          <w:szCs w:val="28"/>
          <w14:textFill>
            <w14:solidFill>
              <w14:schemeClr w14:val="tx1"/>
            </w14:solidFill>
          </w14:textFill>
        </w:rPr>
        <w:t>抄送：县委各部委，县人大常委会办公室，县政协办公室，</w:t>
      </w:r>
      <w:r>
        <w:rPr>
          <w:rFonts w:hint="eastAsia" w:eastAsia="方正仿宋_GBK"/>
          <w:b w:val="0"/>
          <w:bCs w:val="0"/>
          <w:color w:val="000000" w:themeColor="text1"/>
          <w:sz w:val="28"/>
          <w:szCs w:val="28"/>
          <w:lang w:val="en-US" w:eastAsia="zh-CN"/>
          <w14:textFill>
            <w14:solidFill>
              <w14:schemeClr w14:val="tx1"/>
            </w14:solidFill>
          </w14:textFill>
        </w:rPr>
        <w:t>县监委，</w:t>
      </w:r>
      <w:r>
        <w:rPr>
          <w:rFonts w:eastAsia="方正仿宋_GBK"/>
          <w:b w:val="0"/>
          <w:bCs w:val="0"/>
          <w:color w:val="000000" w:themeColor="text1"/>
          <w:sz w:val="28"/>
          <w:szCs w:val="28"/>
          <w14:textFill>
            <w14:solidFill>
              <w14:schemeClr w14:val="tx1"/>
            </w14:solidFill>
          </w14:textFill>
        </w:rPr>
        <w:t>县法院，县检察院，县人武部，各人民团体。</w:t>
      </w:r>
    </w:p>
    <w:p w14:paraId="058D851D">
      <w:pPr>
        <w:keepNext w:val="0"/>
        <w:keepLines w:val="0"/>
        <w:pageBreakBefore w:val="0"/>
        <w:widowControl w:val="0"/>
        <w:kinsoku/>
        <w:wordWrap/>
        <w:overflowPunct/>
        <w:bidi w:val="0"/>
        <w:spacing w:line="594" w:lineRule="exact"/>
        <w:ind w:firstLine="280" w:firstLineChars="100"/>
        <w:rPr>
          <w:rFonts w:eastAsia="方正仿宋_GBK"/>
          <w:b w:val="0"/>
          <w:bCs w:val="0"/>
          <w:color w:val="000000" w:themeColor="text1"/>
          <w:sz w:val="32"/>
          <w:szCs w:val="32"/>
          <w14:textFill>
            <w14:solidFill>
              <w14:schemeClr w14:val="tx1"/>
            </w14:solidFill>
          </w14:textFill>
        </w:rPr>
      </w:pPr>
      <w:r>
        <w:rPr>
          <w:rFonts w:eastAsia="方正仿宋_GBK"/>
          <w:b w:val="0"/>
          <w:bCs w:val="0"/>
          <w:color w:val="000000" w:themeColor="text1"/>
          <w:sz w:val="28"/>
          <w:szCs w:val="28"/>
          <w14:textFill>
            <w14:solidFill>
              <w14:schemeClr w14:val="tx1"/>
            </w14:solidFill>
          </w14:textFill>
        </w:rPr>
        <w:t>忠县人民政府办公室</w:t>
      </w:r>
      <w:r>
        <w:rPr>
          <w:rFonts w:eastAsia="方正仿宋_GBK"/>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395605</wp:posOffset>
                </wp:positionV>
                <wp:extent cx="560070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600700" cy="63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1.15pt;height:0.05pt;width:441pt;z-index:251661312;mso-width-relative:page;mso-height-relative:page;" filled="f" stroked="t" coordsize="21600,21600" o:gfxdata="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Wm3VLWAAAABgEAAA8AAAAAAAAAAQAgAAAAIgAAAGRycy9kb3ducmV2Lnht&#10;bFBLAQIUABQAAAAIAIdO4kAK1aX2+wEAAPUDAAAOAAAAAAAAAAEAIAAAACUBAABkcnMvZTJvRG9j&#10;LnhtbFBLBQYAAAAABgAGAFkBAACSBQAAAAA=&#10;">
                <v:fill on="f" focussize="0,0"/>
                <v:stroke weight="1.25pt" color="#000000" joinstyle="round"/>
                <v:imagedata o:title=""/>
                <o:lock v:ext="edit" aspectratio="f"/>
              </v:line>
            </w:pict>
          </mc:Fallback>
        </mc:AlternateContent>
      </w:r>
      <w:r>
        <w:rPr>
          <w:rFonts w:eastAsia="方正仿宋_GBK"/>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28575</wp:posOffset>
                </wp:positionV>
                <wp:extent cx="560070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6007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2.25pt;height:0.05pt;width:441pt;z-index:251659264;mso-width-relative:page;mso-height-relative:page;" filled="f" stroked="t" coordsize="21600,21600" o:gfxdata="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NYnXhnSAAAABAEAAA8AAAAAAAAAAQAgAAAAIgAAAGRycy9kb3ducmV2LnhtbFBLAQIU&#10;ABQAAAAIAIdO4kDk+0nU+QEAAPQDAAAOAAAAAAAAAAEAIAAAACEBAABkcnMvZTJvRG9jLnhtbFBL&#10;BQYAAAAABgAGAFkBAACMBQAAAAA=&#10;">
                <v:fill on="f" focussize="0,0"/>
                <v:stroke color="#000000" joinstyle="round"/>
                <v:imagedata o:title=""/>
                <o:lock v:ext="edit" aspectratio="f"/>
              </v:line>
            </w:pict>
          </mc:Fallback>
        </mc:AlternateContent>
      </w:r>
      <w:r>
        <w:rPr>
          <w:rFonts w:hint="eastAsia" w:eastAsia="方正仿宋_GBK"/>
          <w:b w:val="0"/>
          <w:bCs w:val="0"/>
          <w:color w:val="000000" w:themeColor="text1"/>
          <w:sz w:val="28"/>
          <w:szCs w:val="28"/>
          <w14:textFill>
            <w14:solidFill>
              <w14:schemeClr w14:val="tx1"/>
            </w14:solidFill>
          </w14:textFill>
        </w:rPr>
        <w:t xml:space="preserve">  </w:t>
      </w:r>
      <w:r>
        <w:rPr>
          <w:rFonts w:eastAsia="方正仿宋_GBK"/>
          <w:b w:val="0"/>
          <w:bCs w:val="0"/>
          <w:color w:val="000000" w:themeColor="text1"/>
          <w:sz w:val="28"/>
          <w:szCs w:val="28"/>
          <w14:textFill>
            <w14:solidFill>
              <w14:schemeClr w14:val="tx1"/>
            </w14:solidFill>
          </w14:textFill>
        </w:rPr>
        <w:t xml:space="preserve">                    </w:t>
      </w:r>
      <w:r>
        <w:rPr>
          <w:rFonts w:hint="eastAsia" w:eastAsia="方正仿宋_GBK"/>
          <w:b w:val="0"/>
          <w:bCs w:val="0"/>
          <w:color w:val="000000" w:themeColor="text1"/>
          <w:sz w:val="28"/>
          <w:szCs w:val="28"/>
          <w14:textFill>
            <w14:solidFill>
              <w14:schemeClr w14:val="tx1"/>
            </w14:solidFill>
          </w14:textFill>
        </w:rPr>
        <w:t>2025</w:t>
      </w:r>
      <w:r>
        <w:rPr>
          <w:rFonts w:eastAsia="方正仿宋_GBK"/>
          <w:b w:val="0"/>
          <w:bCs w:val="0"/>
          <w:color w:val="000000" w:themeColor="text1"/>
          <w:sz w:val="28"/>
          <w:szCs w:val="28"/>
          <w14:textFill>
            <w14:solidFill>
              <w14:schemeClr w14:val="tx1"/>
            </w14:solidFill>
          </w14:textFill>
        </w:rPr>
        <w:t>年</w:t>
      </w:r>
      <w:r>
        <w:rPr>
          <w:rFonts w:hint="eastAsia" w:eastAsia="方正仿宋_GBK"/>
          <w:b w:val="0"/>
          <w:bCs w:val="0"/>
          <w:color w:val="000000" w:themeColor="text1"/>
          <w:sz w:val="28"/>
          <w:szCs w:val="28"/>
          <w:lang w:val="en-US" w:eastAsia="zh-CN"/>
          <w14:textFill>
            <w14:solidFill>
              <w14:schemeClr w14:val="tx1"/>
            </w14:solidFill>
          </w14:textFill>
        </w:rPr>
        <w:t>10</w:t>
      </w:r>
      <w:r>
        <w:rPr>
          <w:rFonts w:eastAsia="方正仿宋_GBK"/>
          <w:b w:val="0"/>
          <w:bCs w:val="0"/>
          <w:color w:val="000000" w:themeColor="text1"/>
          <w:sz w:val="28"/>
          <w:szCs w:val="28"/>
          <w14:textFill>
            <w14:solidFill>
              <w14:schemeClr w14:val="tx1"/>
            </w14:solidFill>
          </w14:textFill>
        </w:rPr>
        <w:t>月</w:t>
      </w:r>
      <w:r>
        <w:rPr>
          <w:rFonts w:hint="eastAsia" w:eastAsia="方正仿宋_GBK"/>
          <w:b w:val="0"/>
          <w:bCs w:val="0"/>
          <w:color w:val="000000" w:themeColor="text1"/>
          <w:sz w:val="28"/>
          <w:szCs w:val="28"/>
          <w:lang w:val="en-US" w:eastAsia="zh-CN"/>
          <w14:textFill>
            <w14:solidFill>
              <w14:schemeClr w14:val="tx1"/>
            </w14:solidFill>
          </w14:textFill>
        </w:rPr>
        <w:t>23</w:t>
      </w:r>
      <w:r>
        <w:rPr>
          <w:rFonts w:eastAsia="方正仿宋_GBK"/>
          <w:b w:val="0"/>
          <w:bCs w:val="0"/>
          <w:color w:val="000000" w:themeColor="text1"/>
          <w:sz w:val="28"/>
          <w:szCs w:val="28"/>
          <w14:textFill>
            <w14:solidFill>
              <w14:schemeClr w14:val="tx1"/>
            </w14:solidFill>
          </w14:textFill>
        </w:rPr>
        <w:t>日印发</w:t>
      </w:r>
    </w:p>
    <w:sectPr>
      <w:footerReference r:id="rId7" w:type="first"/>
      <w:footerReference r:id="rId5" w:type="default"/>
      <w:footerReference r:id="rId6" w:type="even"/>
      <w:pgSz w:w="11906" w:h="16838"/>
      <w:pgMar w:top="2098" w:right="1531" w:bottom="1985" w:left="1531" w:header="851" w:footer="147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23F96">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A447D43">
                          <w:pPr>
                            <w:pStyle w:val="3"/>
                            <w:keepNext w:val="0"/>
                            <w:keepLines w:val="0"/>
                            <w:pageBreakBefore w:val="0"/>
                            <w:widowControl w:val="0"/>
                            <w:kinsoku/>
                            <w:wordWrap/>
                            <w:overflowPunct/>
                            <w:topLinePunct w:val="0"/>
                            <w:bidi w:val="0"/>
                            <w:adjustRightInd/>
                            <w:snapToGrid w:val="0"/>
                            <w:ind w:left="363" w:right="363" w:rightChars="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p w14:paraId="3A447D43">
                    <w:pPr>
                      <w:pStyle w:val="3"/>
                      <w:keepNext w:val="0"/>
                      <w:keepLines w:val="0"/>
                      <w:pageBreakBefore w:val="0"/>
                      <w:widowControl w:val="0"/>
                      <w:kinsoku/>
                      <w:wordWrap/>
                      <w:overflowPunct/>
                      <w:topLinePunct w:val="0"/>
                      <w:bidi w:val="0"/>
                      <w:adjustRightInd/>
                      <w:snapToGrid w:val="0"/>
                      <w:ind w:left="363" w:right="363" w:rightChars="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69EC19">
    <w:pPr>
      <w:pStyle w:val="3"/>
      <w:rPr>
        <w:rFonts w:hint="default"/>
        <w:lang w:val="en-US"/>
      </w:rPr>
    </w:pPr>
    <w:r>
      <w:rPr>
        <w:sz w:val="18"/>
      </w:rPr>
      <mc:AlternateContent>
        <mc:Choice Requires="wps">
          <w:drawing>
            <wp:anchor distT="0" distB="0" distL="114300" distR="114300" simplePos="0" relativeHeight="251659264" behindDoc="0" locked="1" layoutInCell="1" allowOverlap="1">
              <wp:simplePos x="0" y="0"/>
              <wp:positionH relativeFrom="margin">
                <wp:align>outside</wp:align>
              </wp:positionH>
              <wp:positionV relativeFrom="paragraph">
                <wp:posOffset>0</wp:posOffset>
              </wp:positionV>
              <wp:extent cx="1198880" cy="30988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98880" cy="309880"/>
                      </a:xfrm>
                      <a:prstGeom prst="rect">
                        <a:avLst/>
                      </a:prstGeom>
                      <a:noFill/>
                      <a:ln>
                        <a:noFill/>
                      </a:ln>
                    </wps:spPr>
                    <wps:txbx>
                      <w:txbxContent>
                        <w:p w14:paraId="297A7496">
                          <w:pPr>
                            <w:pStyle w:val="3"/>
                            <w:keepNext w:val="0"/>
                            <w:keepLines w:val="0"/>
                            <w:pageBreakBefore w:val="0"/>
                            <w:widowControl w:val="0"/>
                            <w:kinsoku/>
                            <w:wordWrap/>
                            <w:overflowPunct/>
                            <w:topLinePunct w:val="0"/>
                            <w:bidi w:val="0"/>
                            <w:adjustRightInd/>
                            <w:snapToGrid w:val="0"/>
                            <w:ind w:left="357" w:leftChars="0" w:right="357" w:rightChars="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lIns="0" tIns="0" rIns="0" bIns="0" upright="0"/>
                  </wps:wsp>
                </a:graphicData>
              </a:graphic>
            </wp:anchor>
          </w:drawing>
        </mc:Choice>
        <mc:Fallback>
          <w:pict>
            <v:shape id="_x0000_s1026" o:spid="_x0000_s1026" o:spt="202" type="#_x0000_t202" style="position:absolute;left:0pt;margin-top:0pt;height:24.4pt;width:94.4pt;mso-position-horizontal:outside;mso-position-horizontal-relative:margin;z-index:251659264;mso-width-relative:page;mso-height-relative:page;" filled="f" stroked="f" coordsize="21600,21600" o:gfxdata="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k8BLHTAAAABAEAAA8AAAAAAAAAAQAgAAAAIgAAAGRycy9kb3ducmV2LnhtbFBLAQIUABQAAAAI&#10;AIdO4kBkMSsouQEAAHIDAAAOAAAAAAAAAAEAIAAAACIBAABkcnMvZTJvRG9jLnhtbFBLBQYAAAAA&#10;BgAGAFkBAABNBQAAAAA=&#10;">
              <v:fill on="f" focussize="0,0"/>
              <v:stroke on="f"/>
              <v:imagedata o:title=""/>
              <o:lock v:ext="edit" aspectratio="f"/>
              <v:textbox inset="0mm,0mm,0mm,0mm">
                <w:txbxContent>
                  <w:p w14:paraId="297A7496">
                    <w:pPr>
                      <w:pStyle w:val="3"/>
                      <w:keepNext w:val="0"/>
                      <w:keepLines w:val="0"/>
                      <w:pageBreakBefore w:val="0"/>
                      <w:widowControl w:val="0"/>
                      <w:kinsoku/>
                      <w:wordWrap/>
                      <w:overflowPunct/>
                      <w:topLinePunct w:val="0"/>
                      <w:bidi w:val="0"/>
                      <w:adjustRightInd/>
                      <w:snapToGrid w:val="0"/>
                      <w:ind w:left="357" w:leftChars="0" w:right="357" w:rightChars="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w10:anchorlock/>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CF9C7">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15908D">
                          <w:pPr>
                            <w:pStyle w:val="3"/>
                            <w:keepNext w:val="0"/>
                            <w:keepLines w:val="0"/>
                            <w:pageBreakBefore w:val="0"/>
                            <w:widowControl w:val="0"/>
                            <w:kinsoku/>
                            <w:wordWrap/>
                            <w:overflowPunct/>
                            <w:topLinePunct w:val="0"/>
                            <w:bidi w:val="0"/>
                            <w:adjustRightInd/>
                            <w:snapToGrid w:val="0"/>
                            <w:ind w:left="363" w:right="363"/>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WDnscBAACZ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xjiHqQ1+WKNeD8OaYsInSW64wwc6FcWKF3bxdeSUe30vWwx+1/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1fWDnscBAACZAwAADgAAAAAAAAABACAAAAAeAQAAZHJzL2Uyb0RvYy54&#10;bWxQSwUGAAAAAAYABgBZAQAAVwUAAAAA&#10;">
              <v:fill on="f" focussize="0,0"/>
              <v:stroke on="f"/>
              <v:imagedata o:title=""/>
              <o:lock v:ext="edit" aspectratio="f"/>
              <v:textbox inset="0mm,0mm,0mm,0mm" style="mso-fit-shape-to-text:t;">
                <w:txbxContent>
                  <w:p w14:paraId="0115908D">
                    <w:pPr>
                      <w:pStyle w:val="3"/>
                      <w:keepNext w:val="0"/>
                      <w:keepLines w:val="0"/>
                      <w:pageBreakBefore w:val="0"/>
                      <w:widowControl w:val="0"/>
                      <w:kinsoku/>
                      <w:wordWrap/>
                      <w:overflowPunct/>
                      <w:topLinePunct w:val="0"/>
                      <w:bidi w:val="0"/>
                      <w:adjustRightInd/>
                      <w:snapToGrid w:val="0"/>
                      <w:ind w:left="363" w:right="363"/>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C5790F">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BEFA021">
                          <w:pPr>
                            <w:pStyle w:val="3"/>
                            <w:keepNext w:val="0"/>
                            <w:keepLines w:val="0"/>
                            <w:pageBreakBefore w:val="0"/>
                            <w:widowControl w:val="0"/>
                            <w:kinsoku/>
                            <w:wordWrap/>
                            <w:overflowPunct/>
                            <w:topLinePunct w:val="0"/>
                            <w:bidi w:val="0"/>
                            <w:adjustRightInd/>
                            <w:snapToGrid w:val="0"/>
                            <w:ind w:left="363" w:right="363"/>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ZM0qcgBAACZAwAADgAAAGRycy9lMm9Eb2MueG1srVPNjtMwEL4j8Q6W&#10;79TZHlA3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WTNKnIAQAAmQMAAA4AAAAAAAAAAQAgAAAAHgEAAGRycy9lMm9Eb2Mu&#10;eG1sUEsFBgAAAAAGAAYAWQEAAFgFAAAAAA==&#10;">
              <v:fill on="f" focussize="0,0"/>
              <v:stroke on="f"/>
              <v:imagedata o:title=""/>
              <o:lock v:ext="edit" aspectratio="f"/>
              <v:textbox inset="0mm,0mm,0mm,0mm" style="mso-fit-shape-to-text:t;">
                <w:txbxContent>
                  <w:p w14:paraId="3BEFA021">
                    <w:pPr>
                      <w:pStyle w:val="3"/>
                      <w:keepNext w:val="0"/>
                      <w:keepLines w:val="0"/>
                      <w:pageBreakBefore w:val="0"/>
                      <w:widowControl w:val="0"/>
                      <w:kinsoku/>
                      <w:wordWrap/>
                      <w:overflowPunct/>
                      <w:topLinePunct w:val="0"/>
                      <w:bidi w:val="0"/>
                      <w:adjustRightInd/>
                      <w:snapToGrid w:val="0"/>
                      <w:ind w:left="363" w:right="363"/>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78BD9">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evenAndOddHeaders w:val="1"/>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yMWVlOTlkMzg1ZmMwODkzYTU5ZGQ4OTgwNTI1MjcifQ=="/>
  </w:docVars>
  <w:rsids>
    <w:rsidRoot w:val="002260C2"/>
    <w:rsid w:val="000A3631"/>
    <w:rsid w:val="000D5E1A"/>
    <w:rsid w:val="00170A9F"/>
    <w:rsid w:val="001A3E7A"/>
    <w:rsid w:val="00215EFF"/>
    <w:rsid w:val="002260C2"/>
    <w:rsid w:val="00275168"/>
    <w:rsid w:val="002C6726"/>
    <w:rsid w:val="002F084D"/>
    <w:rsid w:val="003E7F1C"/>
    <w:rsid w:val="003F1DA2"/>
    <w:rsid w:val="00453A95"/>
    <w:rsid w:val="00581232"/>
    <w:rsid w:val="005A3086"/>
    <w:rsid w:val="005A7DD5"/>
    <w:rsid w:val="005B7C9C"/>
    <w:rsid w:val="00602CC8"/>
    <w:rsid w:val="00630E64"/>
    <w:rsid w:val="00645840"/>
    <w:rsid w:val="006B4B2E"/>
    <w:rsid w:val="00830FC4"/>
    <w:rsid w:val="008C7507"/>
    <w:rsid w:val="00A03C31"/>
    <w:rsid w:val="00A10B59"/>
    <w:rsid w:val="00B13566"/>
    <w:rsid w:val="00B63CD7"/>
    <w:rsid w:val="00C35C9D"/>
    <w:rsid w:val="00D808F1"/>
    <w:rsid w:val="00E00FD9"/>
    <w:rsid w:val="00F23662"/>
    <w:rsid w:val="00FE4CFA"/>
    <w:rsid w:val="01A42BC3"/>
    <w:rsid w:val="020357FC"/>
    <w:rsid w:val="03686271"/>
    <w:rsid w:val="044A3E52"/>
    <w:rsid w:val="05031C1C"/>
    <w:rsid w:val="051E5E0B"/>
    <w:rsid w:val="0580326D"/>
    <w:rsid w:val="06163BD1"/>
    <w:rsid w:val="062D5ED4"/>
    <w:rsid w:val="06620BC5"/>
    <w:rsid w:val="07487DBA"/>
    <w:rsid w:val="08627A25"/>
    <w:rsid w:val="087B7887"/>
    <w:rsid w:val="08EB5A28"/>
    <w:rsid w:val="093645B1"/>
    <w:rsid w:val="096E2A0B"/>
    <w:rsid w:val="09E162A4"/>
    <w:rsid w:val="0A7C3EE5"/>
    <w:rsid w:val="0AE93662"/>
    <w:rsid w:val="0B835865"/>
    <w:rsid w:val="0C4C3C93"/>
    <w:rsid w:val="0C4F1BEB"/>
    <w:rsid w:val="0CD23F9E"/>
    <w:rsid w:val="0CD60EE0"/>
    <w:rsid w:val="0E39078C"/>
    <w:rsid w:val="0E723D47"/>
    <w:rsid w:val="0EA36632"/>
    <w:rsid w:val="0EAF7927"/>
    <w:rsid w:val="0F6D1DA1"/>
    <w:rsid w:val="0F9F0C4E"/>
    <w:rsid w:val="10AA5642"/>
    <w:rsid w:val="116348A2"/>
    <w:rsid w:val="11F54030"/>
    <w:rsid w:val="12266F4A"/>
    <w:rsid w:val="1365636C"/>
    <w:rsid w:val="138F28CD"/>
    <w:rsid w:val="13A2606D"/>
    <w:rsid w:val="14CD595B"/>
    <w:rsid w:val="15AE23EB"/>
    <w:rsid w:val="16885CB3"/>
    <w:rsid w:val="17B172B6"/>
    <w:rsid w:val="17C87E9B"/>
    <w:rsid w:val="17D86942"/>
    <w:rsid w:val="193B7FE6"/>
    <w:rsid w:val="19F7605C"/>
    <w:rsid w:val="1A0E6C42"/>
    <w:rsid w:val="1A7F18ED"/>
    <w:rsid w:val="1A9D1D74"/>
    <w:rsid w:val="1B09565B"/>
    <w:rsid w:val="1B100169"/>
    <w:rsid w:val="1B4E672B"/>
    <w:rsid w:val="1C5B1EE6"/>
    <w:rsid w:val="1CBF6DDE"/>
    <w:rsid w:val="1D4961E3"/>
    <w:rsid w:val="1DFB5564"/>
    <w:rsid w:val="1E9E60BA"/>
    <w:rsid w:val="1ED3045A"/>
    <w:rsid w:val="1F6B0692"/>
    <w:rsid w:val="1F721A21"/>
    <w:rsid w:val="21750377"/>
    <w:rsid w:val="218E01E8"/>
    <w:rsid w:val="21B04A82"/>
    <w:rsid w:val="21EF545F"/>
    <w:rsid w:val="21F27577"/>
    <w:rsid w:val="21F44B85"/>
    <w:rsid w:val="22053BB4"/>
    <w:rsid w:val="224D4A54"/>
    <w:rsid w:val="22F866E1"/>
    <w:rsid w:val="23DC1B5F"/>
    <w:rsid w:val="25A115C9"/>
    <w:rsid w:val="25B34B41"/>
    <w:rsid w:val="26CA7EF7"/>
    <w:rsid w:val="27F82CDF"/>
    <w:rsid w:val="28FC05AD"/>
    <w:rsid w:val="29B33362"/>
    <w:rsid w:val="29BB2216"/>
    <w:rsid w:val="2A4811A2"/>
    <w:rsid w:val="2A7A1DF8"/>
    <w:rsid w:val="2AB465D2"/>
    <w:rsid w:val="2ADE61BC"/>
    <w:rsid w:val="2AE33F68"/>
    <w:rsid w:val="2B1517CD"/>
    <w:rsid w:val="2D3E54FD"/>
    <w:rsid w:val="2D7E0846"/>
    <w:rsid w:val="2E64504F"/>
    <w:rsid w:val="2E821554"/>
    <w:rsid w:val="2E9C2616"/>
    <w:rsid w:val="2E9F365A"/>
    <w:rsid w:val="2F5729E1"/>
    <w:rsid w:val="2F723377"/>
    <w:rsid w:val="2F8337D6"/>
    <w:rsid w:val="303807C7"/>
    <w:rsid w:val="3058256D"/>
    <w:rsid w:val="30586A11"/>
    <w:rsid w:val="3063501B"/>
    <w:rsid w:val="31215055"/>
    <w:rsid w:val="312957A5"/>
    <w:rsid w:val="31434FCB"/>
    <w:rsid w:val="314D1BCF"/>
    <w:rsid w:val="320528B5"/>
    <w:rsid w:val="320E382B"/>
    <w:rsid w:val="322841C1"/>
    <w:rsid w:val="342F1B04"/>
    <w:rsid w:val="35E46651"/>
    <w:rsid w:val="36370E76"/>
    <w:rsid w:val="374E683B"/>
    <w:rsid w:val="37A60C91"/>
    <w:rsid w:val="380F5C07"/>
    <w:rsid w:val="381B3F7A"/>
    <w:rsid w:val="38F230B1"/>
    <w:rsid w:val="3942025E"/>
    <w:rsid w:val="3A026390"/>
    <w:rsid w:val="3A087AA1"/>
    <w:rsid w:val="3B0A4DAB"/>
    <w:rsid w:val="3C382BB4"/>
    <w:rsid w:val="3C5F1F0F"/>
    <w:rsid w:val="3C8A7F52"/>
    <w:rsid w:val="3CE31473"/>
    <w:rsid w:val="3D136B63"/>
    <w:rsid w:val="3D2D26A2"/>
    <w:rsid w:val="3D3D3216"/>
    <w:rsid w:val="3E513560"/>
    <w:rsid w:val="3FA479D7"/>
    <w:rsid w:val="3FDA8910"/>
    <w:rsid w:val="4135583D"/>
    <w:rsid w:val="432B6666"/>
    <w:rsid w:val="4352109E"/>
    <w:rsid w:val="43C3550B"/>
    <w:rsid w:val="445B404E"/>
    <w:rsid w:val="44BC7116"/>
    <w:rsid w:val="44DA57EF"/>
    <w:rsid w:val="471072A6"/>
    <w:rsid w:val="48A203D1"/>
    <w:rsid w:val="48BC68A3"/>
    <w:rsid w:val="497650DF"/>
    <w:rsid w:val="4A881849"/>
    <w:rsid w:val="4AD8457E"/>
    <w:rsid w:val="4B245A16"/>
    <w:rsid w:val="4BE86A43"/>
    <w:rsid w:val="4CFA4C80"/>
    <w:rsid w:val="4DC96400"/>
    <w:rsid w:val="4F0F42E7"/>
    <w:rsid w:val="4FD80B7D"/>
    <w:rsid w:val="4FFA6D45"/>
    <w:rsid w:val="51065470"/>
    <w:rsid w:val="51535456"/>
    <w:rsid w:val="51767462"/>
    <w:rsid w:val="526E7576"/>
    <w:rsid w:val="534F73A8"/>
    <w:rsid w:val="53A5346C"/>
    <w:rsid w:val="53E403DA"/>
    <w:rsid w:val="54160248"/>
    <w:rsid w:val="551C775D"/>
    <w:rsid w:val="56276546"/>
    <w:rsid w:val="56EF6265"/>
    <w:rsid w:val="56F26ED3"/>
    <w:rsid w:val="575F0E47"/>
    <w:rsid w:val="57EC7962"/>
    <w:rsid w:val="57F51649"/>
    <w:rsid w:val="58873140"/>
    <w:rsid w:val="58B77EC9"/>
    <w:rsid w:val="597506E7"/>
    <w:rsid w:val="597E4725"/>
    <w:rsid w:val="59DD570D"/>
    <w:rsid w:val="5AC153A5"/>
    <w:rsid w:val="5B5B42F4"/>
    <w:rsid w:val="5B6A7475"/>
    <w:rsid w:val="5BBB7CD0"/>
    <w:rsid w:val="5C58551F"/>
    <w:rsid w:val="5D635D0B"/>
    <w:rsid w:val="5DAF0A5C"/>
    <w:rsid w:val="5E7125A6"/>
    <w:rsid w:val="5F13397F"/>
    <w:rsid w:val="5FB877C6"/>
    <w:rsid w:val="5FC54293"/>
    <w:rsid w:val="60015D84"/>
    <w:rsid w:val="60420627"/>
    <w:rsid w:val="606A75CF"/>
    <w:rsid w:val="60BA413E"/>
    <w:rsid w:val="60C84CB3"/>
    <w:rsid w:val="60D72FF7"/>
    <w:rsid w:val="610E56B8"/>
    <w:rsid w:val="61642270"/>
    <w:rsid w:val="62B47227"/>
    <w:rsid w:val="63A61F7E"/>
    <w:rsid w:val="63BC67BC"/>
    <w:rsid w:val="64E40325"/>
    <w:rsid w:val="64F34501"/>
    <w:rsid w:val="65CD5987"/>
    <w:rsid w:val="665F2F5A"/>
    <w:rsid w:val="66B95403"/>
    <w:rsid w:val="66DC0AFB"/>
    <w:rsid w:val="683A01CF"/>
    <w:rsid w:val="69346AD6"/>
    <w:rsid w:val="69470DF5"/>
    <w:rsid w:val="69E00902"/>
    <w:rsid w:val="6A973B65"/>
    <w:rsid w:val="6AD20B92"/>
    <w:rsid w:val="6AE61F48"/>
    <w:rsid w:val="6AEB45D1"/>
    <w:rsid w:val="6AFE7E7F"/>
    <w:rsid w:val="6B8F438D"/>
    <w:rsid w:val="6B9B7213"/>
    <w:rsid w:val="6C280D39"/>
    <w:rsid w:val="6C5C6966"/>
    <w:rsid w:val="6C937707"/>
    <w:rsid w:val="6CE8644B"/>
    <w:rsid w:val="6D5C4743"/>
    <w:rsid w:val="6DBA6908"/>
    <w:rsid w:val="6DBF49BD"/>
    <w:rsid w:val="6EC922AC"/>
    <w:rsid w:val="6EEBA7B8"/>
    <w:rsid w:val="6F223CBA"/>
    <w:rsid w:val="6F7A4A17"/>
    <w:rsid w:val="6FAF341D"/>
    <w:rsid w:val="6FE55124"/>
    <w:rsid w:val="70727E1A"/>
    <w:rsid w:val="70736F61"/>
    <w:rsid w:val="70D97474"/>
    <w:rsid w:val="71F41921"/>
    <w:rsid w:val="71F6BE88"/>
    <w:rsid w:val="72AE5A41"/>
    <w:rsid w:val="73045661"/>
    <w:rsid w:val="732045DE"/>
    <w:rsid w:val="73D43285"/>
    <w:rsid w:val="74E26E5B"/>
    <w:rsid w:val="74FF2584"/>
    <w:rsid w:val="756103A4"/>
    <w:rsid w:val="76A72C4B"/>
    <w:rsid w:val="76CF0CE7"/>
    <w:rsid w:val="773371C8"/>
    <w:rsid w:val="774E63C5"/>
    <w:rsid w:val="77690624"/>
    <w:rsid w:val="77A5494B"/>
    <w:rsid w:val="77BD04D4"/>
    <w:rsid w:val="77BF424C"/>
    <w:rsid w:val="77FFEBC4"/>
    <w:rsid w:val="781F2FC2"/>
    <w:rsid w:val="788046F0"/>
    <w:rsid w:val="78CD3529"/>
    <w:rsid w:val="791178D1"/>
    <w:rsid w:val="791C1F74"/>
    <w:rsid w:val="79F857F4"/>
    <w:rsid w:val="7A4B5C4C"/>
    <w:rsid w:val="7A85637E"/>
    <w:rsid w:val="7A94376E"/>
    <w:rsid w:val="7B30793B"/>
    <w:rsid w:val="7BF62BF3"/>
    <w:rsid w:val="7C7C44BA"/>
    <w:rsid w:val="7D8A0E59"/>
    <w:rsid w:val="7EBC7738"/>
    <w:rsid w:val="7EC37706"/>
    <w:rsid w:val="7F0D0A9C"/>
    <w:rsid w:val="7F4B0B54"/>
    <w:rsid w:val="7F596D35"/>
    <w:rsid w:val="7F792868"/>
    <w:rsid w:val="7F7E679B"/>
    <w:rsid w:val="8A9E0A54"/>
    <w:rsid w:val="A756683B"/>
    <w:rsid w:val="ADFD8435"/>
    <w:rsid w:val="AFDA7FDD"/>
    <w:rsid w:val="BF7C1523"/>
    <w:rsid w:val="D57F6586"/>
    <w:rsid w:val="FC371D15"/>
    <w:rsid w:val="FF3A27F0"/>
    <w:rsid w:val="FF999CBE"/>
    <w:rsid w:val="FF9EFB3C"/>
    <w:rsid w:val="FFD54E5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style>
  <w:style w:type="paragraph" w:styleId="3">
    <w:name w:val="footer"/>
    <w:basedOn w:val="1"/>
    <w:link w:val="8"/>
    <w:unhideWhenUsed/>
    <w:qFormat/>
    <w:uiPriority w:val="0"/>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qFormat/>
    <w:uiPriority w:val="99"/>
    <w:rPr>
      <w:sz w:val="18"/>
      <w:szCs w:val="18"/>
    </w:rPr>
  </w:style>
  <w:style w:type="table" w:customStyle="1" w:styleId="9">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yangfengxiang\C:\home\yangfengxiang\C:\opt\apps\com.com.alibaba.ykz\files\2.13.5-Release.8\C:\Users\Administrator\AppData\Roaming\Microsoft\Templates\&#25919;&#24220;&#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政府模板</Template>
  <Company>Microsoft</Company>
  <Pages>14</Pages>
  <Words>4747</Words>
  <Characters>5053</Characters>
  <Lines>46</Lines>
  <Paragraphs>12</Paragraphs>
  <TotalTime>3</TotalTime>
  <ScaleCrop>false</ScaleCrop>
  <LinksUpToDate>false</LinksUpToDate>
  <CharactersWithSpaces>5082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2025-04-19T03:23:00Z</dcterms:created>
  <dc:creator>PC</dc:creator>
  <cp:lastModifiedBy>Administrator</cp:lastModifiedBy>
  <cp:lastPrinted>2025-10-21T04:56:00Z</cp:lastPrinted>
  <dcterms:modified xsi:type="dcterms:W3CDTF">2025-10-23T08:11:50Z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A58B7C0B61484464B0EEADF12F3393D0_13</vt:lpwstr>
  </property>
  <property fmtid="{D5CDD505-2E9C-101B-9397-08002B2CF9AE}" pid="4" name="KSOTemplateDocerSaveRecord">
    <vt:lpwstr>eyJoZGlkIjoiYzYyNzQyZTQzNTFjNGE4NTU4ZmJmNjI1NWI4ZjcxMjMifQ==</vt:lpwstr>
  </property>
</Properties>
</file>